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6A269" w14:textId="77777777" w:rsidR="00042167" w:rsidRDefault="00042167" w:rsidP="0074345D">
      <w:pPr>
        <w:pStyle w:val="Bezmezer"/>
        <w:jc w:val="right"/>
      </w:pPr>
      <w:bookmarkStart w:id="0" w:name="_Toc343527888"/>
    </w:p>
    <w:p w14:paraId="2B4184F7" w14:textId="3F9BB647" w:rsidR="00042167" w:rsidRPr="006762EA" w:rsidRDefault="006762EA" w:rsidP="006762EA">
      <w:pPr>
        <w:pStyle w:val="Bezmezer"/>
        <w:rPr>
          <w:rFonts w:ascii="Calibri" w:hAnsi="Calibri" w:cs="Calibri"/>
        </w:rPr>
      </w:pPr>
      <w:r w:rsidRPr="006762EA">
        <w:rPr>
          <w:rFonts w:ascii="Calibri" w:hAnsi="Calibri" w:cs="Calibri"/>
          <w:i/>
        </w:rPr>
        <w:t xml:space="preserve">Příloha č. </w:t>
      </w:r>
      <w:r>
        <w:rPr>
          <w:rFonts w:ascii="Calibri" w:hAnsi="Calibri" w:cs="Calibri"/>
          <w:i/>
        </w:rPr>
        <w:t>3</w:t>
      </w:r>
      <w:r w:rsidRPr="006762EA">
        <w:rPr>
          <w:rFonts w:ascii="Calibri" w:hAnsi="Calibri" w:cs="Calibri"/>
          <w:i/>
        </w:rPr>
        <w:t xml:space="preserve"> zadávací dokumentace</w:t>
      </w:r>
    </w:p>
    <w:p w14:paraId="0B96C403" w14:textId="77777777" w:rsidR="0074345D" w:rsidRDefault="0074345D" w:rsidP="0074345D">
      <w:pPr>
        <w:pStyle w:val="Bezmezer"/>
        <w:jc w:val="right"/>
      </w:pPr>
    </w:p>
    <w:p w14:paraId="31EA571F" w14:textId="77777777" w:rsidR="00BF7DF0" w:rsidRPr="00561B74" w:rsidRDefault="00026919" w:rsidP="0074345D">
      <w:pPr>
        <w:pStyle w:val="Bezmezer"/>
        <w:rPr>
          <w:rFonts w:ascii="Calibri" w:hAnsi="Calibri" w:cs="Calibri"/>
          <w:b/>
          <w:color w:val="2E74B5"/>
          <w:sz w:val="32"/>
          <w:szCs w:val="32"/>
        </w:rPr>
      </w:pPr>
      <w:r w:rsidRPr="00561B74">
        <w:rPr>
          <w:rFonts w:ascii="Calibri" w:hAnsi="Calibri" w:cs="Calibri"/>
          <w:b/>
          <w:color w:val="2E74B5"/>
          <w:sz w:val="32"/>
          <w:szCs w:val="32"/>
        </w:rPr>
        <w:t>P</w:t>
      </w:r>
      <w:r w:rsidR="000405CC" w:rsidRPr="00561B74">
        <w:rPr>
          <w:rFonts w:ascii="Calibri" w:hAnsi="Calibri" w:cs="Calibri"/>
          <w:b/>
          <w:color w:val="2E74B5"/>
          <w:sz w:val="32"/>
          <w:szCs w:val="32"/>
        </w:rPr>
        <w:t>ojištění odpovědnosti poskytovatele zdravotních služeb za újmu</w:t>
      </w:r>
      <w:bookmarkEnd w:id="0"/>
    </w:p>
    <w:p w14:paraId="061D044D" w14:textId="77777777" w:rsidR="00E33E89" w:rsidRPr="00561B74" w:rsidRDefault="00E33E89" w:rsidP="00026919">
      <w:pPr>
        <w:spacing w:line="240" w:lineRule="auto"/>
        <w:ind w:firstLine="540"/>
        <w:jc w:val="both"/>
        <w:rPr>
          <w:rFonts w:ascii="Calibri" w:hAnsi="Calibri" w:cs="Calibri"/>
          <w:color w:val="2E74B5"/>
          <w:sz w:val="24"/>
          <w:szCs w:val="24"/>
        </w:rPr>
      </w:pPr>
    </w:p>
    <w:p w14:paraId="223AAEC1" w14:textId="77777777" w:rsidR="00DF739F" w:rsidRPr="00561B74" w:rsidRDefault="005508F0" w:rsidP="00E33E89">
      <w:pPr>
        <w:spacing w:line="240" w:lineRule="auto"/>
        <w:jc w:val="both"/>
        <w:rPr>
          <w:rFonts w:ascii="Calibri" w:hAnsi="Calibri" w:cs="Calibri"/>
          <w:sz w:val="24"/>
          <w:szCs w:val="24"/>
        </w:rPr>
      </w:pPr>
      <w:r w:rsidRPr="00561B74">
        <w:rPr>
          <w:rFonts w:ascii="Calibri" w:hAnsi="Calibri" w:cs="Calibri"/>
          <w:sz w:val="24"/>
          <w:szCs w:val="24"/>
        </w:rPr>
        <w:t xml:space="preserve">1. </w:t>
      </w:r>
      <w:r w:rsidR="00DF739F" w:rsidRPr="00561B74">
        <w:rPr>
          <w:rFonts w:ascii="Calibri" w:hAnsi="Calibri" w:cs="Calibri"/>
          <w:sz w:val="24"/>
          <w:szCs w:val="24"/>
        </w:rPr>
        <w:t>Pojištění odpovědnosti poskytovatele zdravotních služeb za újmu se vztahuje na činnost:</w:t>
      </w:r>
    </w:p>
    <w:p w14:paraId="404EDF1B" w14:textId="77777777" w:rsidR="00F7626D" w:rsidRPr="00561B74" w:rsidRDefault="00F7626D" w:rsidP="00E33E89">
      <w:pPr>
        <w:spacing w:line="240" w:lineRule="auto"/>
        <w:jc w:val="both"/>
        <w:rPr>
          <w:rFonts w:ascii="Calibri" w:hAnsi="Calibri" w:cs="Calibri"/>
          <w:sz w:val="24"/>
          <w:szCs w:val="24"/>
        </w:rPr>
      </w:pPr>
    </w:p>
    <w:p w14:paraId="2CD1E31B" w14:textId="77777777" w:rsidR="00DF739F" w:rsidRPr="00561B74" w:rsidRDefault="00DF739F" w:rsidP="00DF739F">
      <w:pPr>
        <w:numPr>
          <w:ilvl w:val="0"/>
          <w:numId w:val="22"/>
        </w:numPr>
        <w:spacing w:line="240" w:lineRule="auto"/>
        <w:ind w:left="426" w:hanging="426"/>
        <w:jc w:val="both"/>
        <w:rPr>
          <w:rFonts w:ascii="Calibri" w:hAnsi="Calibri" w:cs="Calibri"/>
          <w:sz w:val="24"/>
          <w:szCs w:val="24"/>
        </w:rPr>
      </w:pPr>
      <w:r w:rsidRPr="00561B74">
        <w:rPr>
          <w:rFonts w:ascii="Calibri" w:hAnsi="Calibri" w:cs="Calibri"/>
          <w:sz w:val="24"/>
          <w:szCs w:val="24"/>
        </w:rPr>
        <w:t xml:space="preserve">která je uvedena </w:t>
      </w:r>
      <w:r w:rsidR="00D35CE6" w:rsidRPr="00561B74">
        <w:rPr>
          <w:rFonts w:ascii="Calibri" w:hAnsi="Calibri" w:cs="Calibri"/>
          <w:sz w:val="24"/>
          <w:szCs w:val="24"/>
        </w:rPr>
        <w:t>v</w:t>
      </w:r>
      <w:r w:rsidR="00C4129B" w:rsidRPr="00561B74">
        <w:rPr>
          <w:rFonts w:ascii="Calibri" w:hAnsi="Calibri" w:cs="Calibri"/>
          <w:sz w:val="24"/>
          <w:szCs w:val="24"/>
        </w:rPr>
        <w:t xml:space="preserve">e výpisu z obchodního rejstříku </w:t>
      </w:r>
      <w:r w:rsidR="00D35CE6" w:rsidRPr="00561B74">
        <w:rPr>
          <w:rFonts w:ascii="Calibri" w:hAnsi="Calibri" w:cs="Calibri"/>
          <w:sz w:val="24"/>
          <w:szCs w:val="24"/>
        </w:rPr>
        <w:t xml:space="preserve">zdravotnického zařízení, </w:t>
      </w:r>
      <w:r w:rsidR="005579D0" w:rsidRPr="00561B74">
        <w:rPr>
          <w:rFonts w:ascii="Calibri" w:hAnsi="Calibri" w:cs="Calibri"/>
          <w:sz w:val="24"/>
          <w:szCs w:val="24"/>
        </w:rPr>
        <w:t>Nemocnice Pardubického kraje a.s.</w:t>
      </w:r>
      <w:r w:rsidR="00877E77" w:rsidRPr="00561B74">
        <w:rPr>
          <w:rFonts w:ascii="Calibri" w:hAnsi="Calibri" w:cs="Calibri"/>
          <w:sz w:val="24"/>
          <w:szCs w:val="24"/>
        </w:rPr>
        <w:t xml:space="preserve"> a oprávnění k poskytování zdravotních služeb</w:t>
      </w:r>
      <w:r w:rsidR="00561B74" w:rsidRPr="00561B74">
        <w:rPr>
          <w:rFonts w:ascii="Calibri" w:hAnsi="Calibri" w:cs="Calibri"/>
          <w:sz w:val="24"/>
          <w:szCs w:val="24"/>
        </w:rPr>
        <w:t>.</w:t>
      </w:r>
    </w:p>
    <w:p w14:paraId="0B02438D" w14:textId="77777777" w:rsidR="00D35CE6" w:rsidRPr="00561B74" w:rsidRDefault="00D35CE6" w:rsidP="00DF739F">
      <w:pPr>
        <w:numPr>
          <w:ilvl w:val="0"/>
          <w:numId w:val="22"/>
        </w:numPr>
        <w:spacing w:line="240" w:lineRule="auto"/>
        <w:ind w:left="426" w:hanging="426"/>
        <w:jc w:val="both"/>
        <w:rPr>
          <w:rFonts w:ascii="Calibri" w:hAnsi="Calibri" w:cs="Calibri"/>
          <w:sz w:val="24"/>
          <w:szCs w:val="24"/>
        </w:rPr>
      </w:pPr>
      <w:r w:rsidRPr="00561B74">
        <w:rPr>
          <w:rFonts w:ascii="Calibri" w:hAnsi="Calibri" w:cs="Calibri"/>
          <w:sz w:val="24"/>
          <w:szCs w:val="24"/>
        </w:rPr>
        <w:t>provozování</w:t>
      </w:r>
      <w:r w:rsidR="00206FA8" w:rsidRPr="00561B74">
        <w:rPr>
          <w:rFonts w:ascii="Calibri" w:hAnsi="Calibri" w:cs="Calibri"/>
          <w:sz w:val="24"/>
          <w:szCs w:val="24"/>
        </w:rPr>
        <w:t xml:space="preserve"> </w:t>
      </w:r>
      <w:r w:rsidR="00337E5D" w:rsidRPr="00561B74">
        <w:rPr>
          <w:rFonts w:ascii="Calibri" w:hAnsi="Calibri" w:cs="Calibri"/>
          <w:sz w:val="24"/>
          <w:szCs w:val="24"/>
        </w:rPr>
        <w:t>nemocnice/</w:t>
      </w:r>
      <w:r w:rsidR="0074345D" w:rsidRPr="00561B74">
        <w:rPr>
          <w:rFonts w:ascii="Calibri" w:hAnsi="Calibri" w:cs="Calibri"/>
          <w:sz w:val="24"/>
          <w:szCs w:val="24"/>
        </w:rPr>
        <w:t xml:space="preserve"> </w:t>
      </w:r>
      <w:r w:rsidR="00206FA8" w:rsidRPr="00561B74">
        <w:rPr>
          <w:rFonts w:ascii="Calibri" w:hAnsi="Calibri" w:cs="Calibri"/>
          <w:sz w:val="24"/>
          <w:szCs w:val="24"/>
        </w:rPr>
        <w:t>/</w:t>
      </w:r>
      <w:r w:rsidR="00337E5D" w:rsidRPr="00561B74">
        <w:rPr>
          <w:rFonts w:ascii="Calibri" w:hAnsi="Calibri" w:cs="Calibri"/>
          <w:sz w:val="24"/>
          <w:szCs w:val="24"/>
        </w:rPr>
        <w:t>bytových domů</w:t>
      </w:r>
      <w:r w:rsidR="00206FA8" w:rsidRPr="00561B74">
        <w:rPr>
          <w:rFonts w:ascii="Calibri" w:hAnsi="Calibri" w:cs="Calibri"/>
          <w:sz w:val="24"/>
          <w:szCs w:val="24"/>
        </w:rPr>
        <w:t>/</w:t>
      </w:r>
      <w:r w:rsidRPr="00561B74">
        <w:rPr>
          <w:rFonts w:ascii="Calibri" w:hAnsi="Calibri" w:cs="Calibri"/>
          <w:sz w:val="24"/>
          <w:szCs w:val="24"/>
        </w:rPr>
        <w:t>ubytovn</w:t>
      </w:r>
      <w:r w:rsidR="00206FA8" w:rsidRPr="00561B74">
        <w:rPr>
          <w:rFonts w:ascii="Calibri" w:hAnsi="Calibri" w:cs="Calibri"/>
          <w:sz w:val="24"/>
          <w:szCs w:val="24"/>
        </w:rPr>
        <w:t>y</w:t>
      </w:r>
      <w:r w:rsidR="00337E5D" w:rsidRPr="00561B74">
        <w:rPr>
          <w:rFonts w:ascii="Calibri" w:hAnsi="Calibri" w:cs="Calibri"/>
          <w:sz w:val="24"/>
          <w:szCs w:val="24"/>
        </w:rPr>
        <w:t>/mateřské školky pro zaměstnance</w:t>
      </w:r>
      <w:r w:rsidRPr="00561B74">
        <w:rPr>
          <w:rFonts w:ascii="Calibri" w:hAnsi="Calibri" w:cs="Calibri"/>
          <w:sz w:val="24"/>
          <w:szCs w:val="24"/>
        </w:rPr>
        <w:t xml:space="preserve"> na adresách</w:t>
      </w:r>
      <w:r w:rsidR="005A5EEA" w:rsidRPr="00561B74">
        <w:rPr>
          <w:rFonts w:ascii="Calibri" w:hAnsi="Calibri" w:cs="Calibri"/>
          <w:sz w:val="24"/>
          <w:szCs w:val="24"/>
        </w:rPr>
        <w:t xml:space="preserve"> </w:t>
      </w:r>
      <w:r w:rsidR="00561B74">
        <w:rPr>
          <w:rFonts w:ascii="Calibri" w:hAnsi="Calibri" w:cs="Calibri"/>
          <w:sz w:val="24"/>
          <w:szCs w:val="24"/>
        </w:rPr>
        <w:t>dle účetní evidence pojištěného</w:t>
      </w:r>
      <w:r w:rsidR="005A5EEA" w:rsidRPr="00561B74">
        <w:rPr>
          <w:rFonts w:ascii="Calibri" w:hAnsi="Calibri" w:cs="Calibri"/>
          <w:sz w:val="24"/>
          <w:szCs w:val="24"/>
        </w:rPr>
        <w:t>.</w:t>
      </w:r>
      <w:r w:rsidR="005579D0" w:rsidRPr="00561B74">
        <w:rPr>
          <w:rFonts w:ascii="Calibri" w:hAnsi="Calibri" w:cs="Calibri"/>
          <w:sz w:val="24"/>
          <w:szCs w:val="24"/>
        </w:rPr>
        <w:t xml:space="preserve"> </w:t>
      </w:r>
    </w:p>
    <w:p w14:paraId="70E6294C" w14:textId="77777777" w:rsidR="00D35CE6" w:rsidRPr="00561B74" w:rsidRDefault="00D35CE6" w:rsidP="00D35CE6">
      <w:pPr>
        <w:spacing w:line="240" w:lineRule="auto"/>
        <w:ind w:left="786"/>
        <w:jc w:val="both"/>
        <w:rPr>
          <w:rFonts w:ascii="Calibri" w:hAnsi="Calibri" w:cs="Calibri"/>
          <w:sz w:val="24"/>
          <w:szCs w:val="24"/>
        </w:rPr>
      </w:pPr>
    </w:p>
    <w:p w14:paraId="48CB47D6" w14:textId="77777777" w:rsidR="00E33E89" w:rsidRPr="00561B74" w:rsidRDefault="005508F0" w:rsidP="00E33E89">
      <w:pPr>
        <w:spacing w:line="240" w:lineRule="auto"/>
        <w:jc w:val="both"/>
        <w:rPr>
          <w:rFonts w:ascii="Calibri" w:hAnsi="Calibri" w:cs="Calibri"/>
          <w:sz w:val="24"/>
          <w:szCs w:val="24"/>
        </w:rPr>
      </w:pPr>
      <w:r w:rsidRPr="00561B74">
        <w:rPr>
          <w:rFonts w:ascii="Calibri" w:hAnsi="Calibri" w:cs="Calibri"/>
          <w:sz w:val="24"/>
          <w:szCs w:val="24"/>
        </w:rPr>
        <w:t xml:space="preserve">2. </w:t>
      </w:r>
      <w:r w:rsidR="00E33E89" w:rsidRPr="00561B74">
        <w:rPr>
          <w:rFonts w:ascii="Calibri" w:hAnsi="Calibri" w:cs="Calibri"/>
          <w:sz w:val="24"/>
          <w:szCs w:val="24"/>
        </w:rPr>
        <w:t>Pojištění se vztahuje na</w:t>
      </w:r>
      <w:r w:rsidR="0074345D" w:rsidRPr="00561B74">
        <w:rPr>
          <w:rFonts w:ascii="Calibri" w:hAnsi="Calibri" w:cs="Calibri"/>
          <w:sz w:val="24"/>
          <w:szCs w:val="24"/>
        </w:rPr>
        <w:t>,</w:t>
      </w:r>
      <w:r w:rsidR="00E33E89" w:rsidRPr="00561B74">
        <w:rPr>
          <w:rFonts w:ascii="Calibri" w:hAnsi="Calibri" w:cs="Calibri"/>
          <w:sz w:val="24"/>
          <w:szCs w:val="24"/>
        </w:rPr>
        <w:t xml:space="preserve"> právním předpisem stanovenou povinnost pojištěného nahradit nemajetkovou újmu nebo škodu (újmu na jmění) způsobenou jinému:</w:t>
      </w:r>
    </w:p>
    <w:p w14:paraId="398FC711" w14:textId="77777777" w:rsidR="00E33E89" w:rsidRPr="00561B74" w:rsidRDefault="00E33E89" w:rsidP="00E33E89">
      <w:pPr>
        <w:numPr>
          <w:ilvl w:val="0"/>
          <w:numId w:val="13"/>
        </w:numPr>
        <w:spacing w:line="240" w:lineRule="auto"/>
        <w:ind w:left="464" w:hanging="425"/>
        <w:jc w:val="both"/>
        <w:rPr>
          <w:rFonts w:ascii="Calibri" w:hAnsi="Calibri" w:cs="Calibri"/>
          <w:sz w:val="24"/>
          <w:szCs w:val="24"/>
        </w:rPr>
      </w:pPr>
      <w:r w:rsidRPr="00561B74">
        <w:rPr>
          <w:rFonts w:ascii="Calibri" w:hAnsi="Calibri" w:cs="Calibri"/>
          <w:sz w:val="24"/>
          <w:szCs w:val="24"/>
        </w:rPr>
        <w:t>poskytováním zdravotních služeb v rozsahu oprávnění k poskytování zdravotních služeb a při poskytnutí první pomoc</w:t>
      </w:r>
      <w:r w:rsidR="00540E68" w:rsidRPr="00561B74">
        <w:rPr>
          <w:rFonts w:ascii="Calibri" w:hAnsi="Calibri" w:cs="Calibri"/>
          <w:sz w:val="24"/>
          <w:szCs w:val="24"/>
        </w:rPr>
        <w:t xml:space="preserve">i i nad rámec tohoto oprávnění </w:t>
      </w:r>
      <w:r w:rsidRPr="00561B74">
        <w:rPr>
          <w:rFonts w:ascii="Calibri" w:hAnsi="Calibri" w:cs="Calibri"/>
          <w:sz w:val="24"/>
          <w:szCs w:val="24"/>
        </w:rPr>
        <w:t>(</w:t>
      </w:r>
      <w:r w:rsidRPr="00561B74">
        <w:rPr>
          <w:rFonts w:ascii="Calibri" w:hAnsi="Calibri" w:cs="Calibri"/>
          <w:b/>
          <w:sz w:val="24"/>
          <w:szCs w:val="24"/>
        </w:rPr>
        <w:t>profesní odpovědnost</w:t>
      </w:r>
      <w:r w:rsidRPr="00561B74">
        <w:rPr>
          <w:rFonts w:ascii="Calibri" w:hAnsi="Calibri" w:cs="Calibri"/>
          <w:sz w:val="24"/>
          <w:szCs w:val="24"/>
        </w:rPr>
        <w:t>),</w:t>
      </w:r>
    </w:p>
    <w:p w14:paraId="5BD4A759" w14:textId="77777777" w:rsidR="00EF6C63" w:rsidRPr="00DE55A6" w:rsidRDefault="00EF6C63" w:rsidP="00EF6C63">
      <w:pPr>
        <w:spacing w:line="240" w:lineRule="auto"/>
        <w:ind w:left="39"/>
        <w:jc w:val="both"/>
        <w:rPr>
          <w:rFonts w:ascii="Calibri" w:hAnsi="Calibri" w:cs="Calibri"/>
          <w:sz w:val="24"/>
          <w:szCs w:val="24"/>
        </w:rPr>
      </w:pPr>
      <w:r w:rsidRPr="00DE55A6">
        <w:rPr>
          <w:rFonts w:ascii="Calibri" w:hAnsi="Calibri" w:cs="Calibri"/>
          <w:sz w:val="24"/>
          <w:szCs w:val="24"/>
        </w:rPr>
        <w:t>(odpovědnost poskytovatele zdravotních služeb podle 372/2011 Sb. o zdravotních službách, speciálních zdravotních služeb podle zákona 373/2011 Sb. o specifických zdravotních službách a při poskytnutí první pomoci nad rámec těchto služeb)</w:t>
      </w:r>
    </w:p>
    <w:p w14:paraId="0824E8D0" w14:textId="77777777" w:rsidR="00E33E89" w:rsidRPr="00561B74" w:rsidRDefault="00E33E89" w:rsidP="00E33E89">
      <w:pPr>
        <w:numPr>
          <w:ilvl w:val="0"/>
          <w:numId w:val="13"/>
        </w:numPr>
        <w:spacing w:line="240" w:lineRule="auto"/>
        <w:ind w:left="464" w:hanging="425"/>
        <w:jc w:val="both"/>
        <w:rPr>
          <w:rFonts w:ascii="Calibri" w:hAnsi="Calibri" w:cs="Calibri"/>
          <w:sz w:val="24"/>
          <w:szCs w:val="24"/>
        </w:rPr>
      </w:pPr>
      <w:r w:rsidRPr="00561B74">
        <w:rPr>
          <w:rFonts w:ascii="Calibri" w:hAnsi="Calibri" w:cs="Calibri"/>
          <w:sz w:val="24"/>
          <w:szCs w:val="24"/>
        </w:rPr>
        <w:t>v souvislosti s poskytováním zdravotních služeb, nikoli však vlastním poskytováním zdravotních služeb (</w:t>
      </w:r>
      <w:r w:rsidRPr="00561B74">
        <w:rPr>
          <w:rFonts w:ascii="Calibri" w:hAnsi="Calibri" w:cs="Calibri"/>
          <w:b/>
          <w:sz w:val="24"/>
          <w:szCs w:val="24"/>
        </w:rPr>
        <w:t>obecná odpovědnost</w:t>
      </w:r>
      <w:r w:rsidRPr="00561B74">
        <w:rPr>
          <w:rFonts w:ascii="Calibri" w:hAnsi="Calibri" w:cs="Calibri"/>
          <w:sz w:val="24"/>
          <w:szCs w:val="24"/>
        </w:rPr>
        <w:t>). Pojištění obecné odpovědnosti se vztahuje zejména na povinnost nahradit újmu vyplývající z vlastnictví, držby nebo jiného oprávněného užívání nemovitosti sloužící k výkonu činnosti</w:t>
      </w:r>
      <w:r w:rsidR="005B411B" w:rsidRPr="00561B74">
        <w:rPr>
          <w:rFonts w:ascii="Calibri" w:hAnsi="Calibri" w:cs="Calibri"/>
          <w:sz w:val="24"/>
          <w:szCs w:val="24"/>
        </w:rPr>
        <w:t>)</w:t>
      </w:r>
      <w:r w:rsidR="00455FE5" w:rsidRPr="00561B74">
        <w:rPr>
          <w:rFonts w:ascii="Calibri" w:hAnsi="Calibri" w:cs="Calibri"/>
          <w:sz w:val="24"/>
          <w:szCs w:val="24"/>
        </w:rPr>
        <w:t>. Pojištění obecné odpovědnosti se vztahuje i na další činnosti uvedené ve zřizovací listině,</w:t>
      </w:r>
    </w:p>
    <w:p w14:paraId="0B04211F" w14:textId="77777777" w:rsidR="00E33E89" w:rsidRPr="00561B74" w:rsidRDefault="00E33E89" w:rsidP="00E33E89">
      <w:pPr>
        <w:numPr>
          <w:ilvl w:val="0"/>
          <w:numId w:val="13"/>
        </w:numPr>
        <w:spacing w:line="240" w:lineRule="auto"/>
        <w:ind w:left="464" w:hanging="425"/>
        <w:jc w:val="both"/>
        <w:rPr>
          <w:rFonts w:ascii="Calibri" w:hAnsi="Calibri" w:cs="Calibri"/>
          <w:sz w:val="24"/>
          <w:szCs w:val="24"/>
        </w:rPr>
      </w:pPr>
      <w:r w:rsidRPr="00561B74">
        <w:rPr>
          <w:rFonts w:ascii="Calibri" w:hAnsi="Calibri" w:cs="Calibri"/>
          <w:sz w:val="24"/>
          <w:szCs w:val="24"/>
        </w:rPr>
        <w:t>Vadou výrobku (</w:t>
      </w:r>
      <w:r w:rsidRPr="00561B74">
        <w:rPr>
          <w:rFonts w:ascii="Calibri" w:hAnsi="Calibri" w:cs="Calibri"/>
          <w:b/>
          <w:sz w:val="24"/>
          <w:szCs w:val="24"/>
        </w:rPr>
        <w:t>odpovědnost za výrobek</w:t>
      </w:r>
      <w:r w:rsidRPr="00561B74">
        <w:rPr>
          <w:rFonts w:ascii="Calibri" w:hAnsi="Calibri" w:cs="Calibri"/>
          <w:sz w:val="24"/>
          <w:szCs w:val="24"/>
        </w:rPr>
        <w:t>)</w:t>
      </w:r>
    </w:p>
    <w:p w14:paraId="38776686" w14:textId="77777777" w:rsidR="00F6772C" w:rsidRPr="00561B74" w:rsidRDefault="00F6772C" w:rsidP="00F6772C">
      <w:pPr>
        <w:spacing w:line="240" w:lineRule="auto"/>
        <w:ind w:left="464"/>
        <w:jc w:val="both"/>
        <w:rPr>
          <w:rFonts w:ascii="Calibri" w:hAnsi="Calibri" w:cs="Calibri"/>
          <w:sz w:val="24"/>
          <w:szCs w:val="24"/>
        </w:rPr>
      </w:pPr>
    </w:p>
    <w:p w14:paraId="57A4E85D" w14:textId="77777777" w:rsidR="00F6772C" w:rsidRPr="00561B74" w:rsidRDefault="005508F0" w:rsidP="00F6772C">
      <w:pPr>
        <w:spacing w:line="240" w:lineRule="auto"/>
        <w:jc w:val="both"/>
        <w:rPr>
          <w:rFonts w:ascii="Calibri" w:hAnsi="Calibri" w:cs="Calibri"/>
          <w:sz w:val="24"/>
          <w:szCs w:val="24"/>
        </w:rPr>
      </w:pPr>
      <w:r w:rsidRPr="00561B74">
        <w:rPr>
          <w:rFonts w:ascii="Calibri" w:hAnsi="Calibri" w:cs="Calibri"/>
          <w:sz w:val="24"/>
          <w:szCs w:val="24"/>
        </w:rPr>
        <w:t xml:space="preserve">3. </w:t>
      </w:r>
      <w:r w:rsidR="00F6772C" w:rsidRPr="00561B74">
        <w:rPr>
          <w:rFonts w:ascii="Calibri" w:hAnsi="Calibri" w:cs="Calibri"/>
          <w:sz w:val="24"/>
          <w:szCs w:val="24"/>
        </w:rPr>
        <w:t>V případě újmy na životě nebo zdraví člověka poskytne pojistitel náhradu:</w:t>
      </w:r>
    </w:p>
    <w:p w14:paraId="6C730EC6" w14:textId="77777777" w:rsidR="00F6772C" w:rsidRPr="00561B74" w:rsidRDefault="00F6772C" w:rsidP="00F6772C">
      <w:pPr>
        <w:numPr>
          <w:ilvl w:val="0"/>
          <w:numId w:val="14"/>
        </w:numPr>
        <w:spacing w:line="240" w:lineRule="auto"/>
        <w:ind w:left="464" w:hanging="464"/>
        <w:jc w:val="both"/>
        <w:rPr>
          <w:rFonts w:ascii="Calibri" w:hAnsi="Calibri" w:cs="Calibri"/>
          <w:sz w:val="24"/>
          <w:szCs w:val="24"/>
        </w:rPr>
      </w:pPr>
      <w:r w:rsidRPr="00561B74">
        <w:rPr>
          <w:rFonts w:ascii="Calibri" w:hAnsi="Calibri" w:cs="Calibri"/>
          <w:sz w:val="24"/>
          <w:szCs w:val="24"/>
        </w:rPr>
        <w:t>nemajetkové újmy způsobené zásahem do práva poškozeného na ochranu jeho zdraví (např. bolestné, ztížení společenského uplatnění</w:t>
      </w:r>
      <w:r w:rsidR="005B411B" w:rsidRPr="00561B74">
        <w:rPr>
          <w:rFonts w:ascii="Calibri" w:hAnsi="Calibri" w:cs="Calibri"/>
          <w:sz w:val="24"/>
          <w:szCs w:val="24"/>
        </w:rPr>
        <w:t>, další nemajetková újma</w:t>
      </w:r>
      <w:r w:rsidRPr="00561B74">
        <w:rPr>
          <w:rFonts w:ascii="Calibri" w:hAnsi="Calibri" w:cs="Calibri"/>
          <w:sz w:val="24"/>
          <w:szCs w:val="24"/>
        </w:rPr>
        <w:t>),</w:t>
      </w:r>
    </w:p>
    <w:p w14:paraId="150ABDB7" w14:textId="77777777" w:rsidR="00F6772C" w:rsidRPr="00561B74" w:rsidRDefault="00F6772C" w:rsidP="00F6772C">
      <w:pPr>
        <w:numPr>
          <w:ilvl w:val="0"/>
          <w:numId w:val="14"/>
        </w:numPr>
        <w:spacing w:line="240" w:lineRule="auto"/>
        <w:ind w:left="464" w:hanging="464"/>
        <w:jc w:val="both"/>
        <w:rPr>
          <w:rFonts w:ascii="Calibri" w:hAnsi="Calibri" w:cs="Calibri"/>
          <w:sz w:val="24"/>
          <w:szCs w:val="24"/>
        </w:rPr>
      </w:pPr>
      <w:r w:rsidRPr="00561B74">
        <w:rPr>
          <w:rFonts w:ascii="Calibri" w:hAnsi="Calibri" w:cs="Calibri"/>
          <w:sz w:val="24"/>
          <w:szCs w:val="24"/>
        </w:rPr>
        <w:t>duševních útrap manžela, rodiče, dítěte nebo jiné osoby blízké poškozenému v případě usmrcení nebo zvlášť závažného ublížení na zdraví poškozeného,</w:t>
      </w:r>
    </w:p>
    <w:p w14:paraId="581CCBA7" w14:textId="77777777" w:rsidR="00F6772C" w:rsidRPr="00561B74" w:rsidRDefault="00F6772C" w:rsidP="00F6772C">
      <w:pPr>
        <w:numPr>
          <w:ilvl w:val="0"/>
          <w:numId w:val="14"/>
        </w:numPr>
        <w:spacing w:line="240" w:lineRule="auto"/>
        <w:ind w:left="464" w:hanging="464"/>
        <w:jc w:val="both"/>
        <w:rPr>
          <w:rFonts w:ascii="Calibri" w:hAnsi="Calibri" w:cs="Calibri"/>
          <w:sz w:val="24"/>
          <w:szCs w:val="24"/>
        </w:rPr>
      </w:pPr>
      <w:r w:rsidRPr="00561B74">
        <w:rPr>
          <w:rFonts w:ascii="Calibri" w:hAnsi="Calibri" w:cs="Calibri"/>
          <w:sz w:val="24"/>
          <w:szCs w:val="24"/>
        </w:rPr>
        <w:t>následné finanční škody, která vznikla jako přímý důsledek újmy na životě nebo zdraví člověka (např. ztráta na výdělku, ušlý zisk, náklady léčení, náklady pohřbu)</w:t>
      </w:r>
    </w:p>
    <w:p w14:paraId="63BDAC05" w14:textId="77777777" w:rsidR="00F6772C" w:rsidRPr="00561B74" w:rsidRDefault="00F6772C" w:rsidP="00F6772C">
      <w:pPr>
        <w:spacing w:line="240" w:lineRule="auto"/>
        <w:jc w:val="both"/>
        <w:rPr>
          <w:rFonts w:ascii="Calibri" w:hAnsi="Calibri" w:cs="Calibri"/>
          <w:sz w:val="24"/>
          <w:szCs w:val="24"/>
        </w:rPr>
      </w:pPr>
    </w:p>
    <w:p w14:paraId="7E7D1A4C" w14:textId="77777777" w:rsidR="00F6772C" w:rsidRPr="00561B74" w:rsidRDefault="005508F0" w:rsidP="00F6772C">
      <w:pPr>
        <w:spacing w:line="240" w:lineRule="auto"/>
        <w:jc w:val="both"/>
        <w:rPr>
          <w:rFonts w:ascii="Calibri" w:hAnsi="Calibri" w:cs="Calibri"/>
          <w:sz w:val="24"/>
          <w:szCs w:val="24"/>
        </w:rPr>
      </w:pPr>
      <w:r w:rsidRPr="00561B74">
        <w:rPr>
          <w:rFonts w:ascii="Calibri" w:hAnsi="Calibri" w:cs="Calibri"/>
          <w:sz w:val="24"/>
          <w:szCs w:val="24"/>
        </w:rPr>
        <w:t xml:space="preserve">4. </w:t>
      </w:r>
      <w:r w:rsidR="00F6772C" w:rsidRPr="00561B74">
        <w:rPr>
          <w:rFonts w:ascii="Calibri" w:hAnsi="Calibri" w:cs="Calibri"/>
          <w:sz w:val="24"/>
          <w:szCs w:val="24"/>
        </w:rPr>
        <w:t>V případě újmy na hmotné věci poskytne pojistitel náhradu:</w:t>
      </w:r>
    </w:p>
    <w:p w14:paraId="2066D7B0" w14:textId="77777777" w:rsidR="00F6772C" w:rsidRPr="00561B74" w:rsidRDefault="00F6772C" w:rsidP="00F6772C">
      <w:pPr>
        <w:numPr>
          <w:ilvl w:val="0"/>
          <w:numId w:val="15"/>
        </w:numPr>
        <w:spacing w:line="240" w:lineRule="auto"/>
        <w:ind w:left="464" w:hanging="464"/>
        <w:jc w:val="both"/>
        <w:rPr>
          <w:rFonts w:ascii="Calibri" w:hAnsi="Calibri" w:cs="Calibri"/>
          <w:sz w:val="24"/>
          <w:szCs w:val="24"/>
        </w:rPr>
      </w:pPr>
      <w:r w:rsidRPr="00561B74">
        <w:rPr>
          <w:rFonts w:ascii="Calibri" w:hAnsi="Calibri" w:cs="Calibri"/>
          <w:sz w:val="24"/>
          <w:szCs w:val="24"/>
        </w:rPr>
        <w:t>škody způsobené na věci jejím poškozením, zničením nebo ztrátou,</w:t>
      </w:r>
    </w:p>
    <w:p w14:paraId="246D3B01" w14:textId="77777777" w:rsidR="00F6772C" w:rsidRPr="00561B74" w:rsidRDefault="00F6772C" w:rsidP="00F6772C">
      <w:pPr>
        <w:numPr>
          <w:ilvl w:val="0"/>
          <w:numId w:val="15"/>
        </w:numPr>
        <w:spacing w:line="240" w:lineRule="auto"/>
        <w:ind w:left="464" w:hanging="464"/>
        <w:jc w:val="both"/>
        <w:rPr>
          <w:rFonts w:ascii="Calibri" w:hAnsi="Calibri" w:cs="Calibri"/>
          <w:sz w:val="24"/>
          <w:szCs w:val="24"/>
        </w:rPr>
      </w:pPr>
      <w:r w:rsidRPr="00561B74">
        <w:rPr>
          <w:rFonts w:ascii="Calibri" w:hAnsi="Calibri" w:cs="Calibri"/>
          <w:sz w:val="24"/>
          <w:szCs w:val="24"/>
        </w:rPr>
        <w:t>následné finanční škody, která vznikla vlastníkovi věci nebo osobě oprávněně užívající věc na základě smlouvy jako přímý důsledek škody uvedené v písm. a) (např. ušlý zisk, náklady na likvidaci zničené věci, půjčovné za náhradní věc).</w:t>
      </w:r>
    </w:p>
    <w:p w14:paraId="0D7D5475" w14:textId="77777777" w:rsidR="00F6772C" w:rsidRPr="00561B74" w:rsidRDefault="00F6772C" w:rsidP="00F6772C">
      <w:pPr>
        <w:spacing w:line="240" w:lineRule="auto"/>
        <w:jc w:val="both"/>
        <w:rPr>
          <w:rFonts w:ascii="Calibri" w:hAnsi="Calibri" w:cs="Calibri"/>
          <w:sz w:val="24"/>
          <w:szCs w:val="24"/>
        </w:rPr>
      </w:pPr>
    </w:p>
    <w:p w14:paraId="1C1DBDBC" w14:textId="77777777" w:rsidR="00F6772C" w:rsidRPr="00561B74" w:rsidRDefault="005508F0" w:rsidP="00F6772C">
      <w:pPr>
        <w:spacing w:line="240" w:lineRule="auto"/>
        <w:jc w:val="both"/>
        <w:rPr>
          <w:rFonts w:ascii="Calibri" w:hAnsi="Calibri" w:cs="Calibri"/>
          <w:sz w:val="24"/>
          <w:szCs w:val="24"/>
        </w:rPr>
      </w:pPr>
      <w:r w:rsidRPr="00561B74">
        <w:rPr>
          <w:rFonts w:ascii="Calibri" w:hAnsi="Calibri" w:cs="Calibri"/>
          <w:sz w:val="24"/>
          <w:szCs w:val="24"/>
        </w:rPr>
        <w:t xml:space="preserve">5. </w:t>
      </w:r>
      <w:r w:rsidR="00F6772C" w:rsidRPr="00561B74">
        <w:rPr>
          <w:rFonts w:ascii="Calibri" w:hAnsi="Calibri" w:cs="Calibri"/>
          <w:sz w:val="24"/>
          <w:szCs w:val="24"/>
        </w:rPr>
        <w:t xml:space="preserve">V případě újmy na živém zvířeti poskytne pojistitel náhradu: </w:t>
      </w:r>
    </w:p>
    <w:p w14:paraId="3C0495BC" w14:textId="77777777" w:rsidR="00F6772C" w:rsidRPr="00561B74" w:rsidRDefault="00F6772C" w:rsidP="00F6772C">
      <w:pPr>
        <w:numPr>
          <w:ilvl w:val="0"/>
          <w:numId w:val="16"/>
        </w:numPr>
        <w:spacing w:line="240" w:lineRule="auto"/>
        <w:ind w:left="464" w:hanging="425"/>
        <w:jc w:val="both"/>
        <w:rPr>
          <w:rFonts w:ascii="Calibri" w:hAnsi="Calibri" w:cs="Calibri"/>
          <w:sz w:val="24"/>
          <w:szCs w:val="24"/>
        </w:rPr>
      </w:pPr>
      <w:r w:rsidRPr="00561B74">
        <w:rPr>
          <w:rFonts w:ascii="Calibri" w:hAnsi="Calibri" w:cs="Calibri"/>
          <w:sz w:val="24"/>
          <w:szCs w:val="24"/>
        </w:rPr>
        <w:t>škody způsobené usmrcením, ztrátou nebo zraněním zvířete,</w:t>
      </w:r>
    </w:p>
    <w:p w14:paraId="16F12F3B" w14:textId="77777777" w:rsidR="00F6772C" w:rsidRPr="00561B74" w:rsidRDefault="00F6772C" w:rsidP="00F6772C">
      <w:pPr>
        <w:numPr>
          <w:ilvl w:val="0"/>
          <w:numId w:val="16"/>
        </w:numPr>
        <w:spacing w:line="240" w:lineRule="auto"/>
        <w:ind w:left="464" w:hanging="425"/>
        <w:jc w:val="both"/>
        <w:rPr>
          <w:rFonts w:ascii="Calibri" w:hAnsi="Calibri" w:cs="Calibri"/>
          <w:sz w:val="24"/>
          <w:szCs w:val="24"/>
        </w:rPr>
      </w:pPr>
      <w:r w:rsidRPr="00561B74">
        <w:rPr>
          <w:rFonts w:ascii="Calibri" w:hAnsi="Calibri" w:cs="Calibri"/>
          <w:sz w:val="24"/>
          <w:szCs w:val="24"/>
        </w:rPr>
        <w:t xml:space="preserve">následné finanční škody, která vznikla vlastníkovi zvířete nebo osobě oprávněně užívající zvíře na základě smlouvy jako přímý důsledek škody uvedené v písm. a) (např. ušlý zisk), účelně vynaložené náklady spojené s péčí o zdraví zraněného zvířete se hradí tomu, kdo je vynaložil.   </w:t>
      </w:r>
    </w:p>
    <w:p w14:paraId="3DADAD6C" w14:textId="77777777" w:rsidR="00F6772C" w:rsidRPr="00561B74" w:rsidRDefault="00F6772C" w:rsidP="00F6772C">
      <w:pPr>
        <w:spacing w:line="240" w:lineRule="auto"/>
        <w:ind w:left="39"/>
        <w:jc w:val="both"/>
        <w:rPr>
          <w:rFonts w:ascii="Calibri" w:hAnsi="Calibri" w:cs="Calibri"/>
          <w:sz w:val="24"/>
          <w:szCs w:val="24"/>
        </w:rPr>
      </w:pPr>
    </w:p>
    <w:p w14:paraId="4AE2CA8C" w14:textId="77777777" w:rsidR="00F6772C" w:rsidRPr="00561B74" w:rsidRDefault="005508F0" w:rsidP="00F6772C">
      <w:pPr>
        <w:spacing w:line="240" w:lineRule="auto"/>
        <w:ind w:left="39"/>
        <w:jc w:val="both"/>
        <w:rPr>
          <w:rFonts w:ascii="Calibri" w:hAnsi="Calibri" w:cs="Calibri"/>
          <w:sz w:val="24"/>
          <w:szCs w:val="24"/>
        </w:rPr>
      </w:pPr>
      <w:r w:rsidRPr="00561B74">
        <w:rPr>
          <w:rFonts w:ascii="Calibri" w:hAnsi="Calibri" w:cs="Calibri"/>
          <w:sz w:val="24"/>
          <w:szCs w:val="24"/>
        </w:rPr>
        <w:lastRenderedPageBreak/>
        <w:t xml:space="preserve">6. </w:t>
      </w:r>
      <w:r w:rsidR="00F6772C" w:rsidRPr="00561B74">
        <w:rPr>
          <w:rFonts w:ascii="Calibri" w:hAnsi="Calibri" w:cs="Calibri"/>
          <w:sz w:val="24"/>
          <w:szCs w:val="24"/>
        </w:rPr>
        <w:t>Pojištění se vztahuje i na povinnost pojištěného poskytnout:</w:t>
      </w:r>
    </w:p>
    <w:p w14:paraId="79812D2E" w14:textId="77777777" w:rsidR="00F6772C" w:rsidRPr="00561B74" w:rsidRDefault="00F6772C" w:rsidP="00F6772C">
      <w:pPr>
        <w:numPr>
          <w:ilvl w:val="0"/>
          <w:numId w:val="17"/>
        </w:numPr>
        <w:spacing w:line="240" w:lineRule="auto"/>
        <w:jc w:val="both"/>
        <w:rPr>
          <w:rFonts w:ascii="Calibri" w:hAnsi="Calibri" w:cs="Calibri"/>
          <w:sz w:val="24"/>
          <w:szCs w:val="24"/>
        </w:rPr>
      </w:pPr>
      <w:r w:rsidRPr="00561B74">
        <w:rPr>
          <w:rFonts w:ascii="Calibri" w:hAnsi="Calibri" w:cs="Calibri"/>
          <w:sz w:val="24"/>
          <w:szCs w:val="24"/>
        </w:rPr>
        <w:t>náhradu nákladů na hrazené služby vynaložených zdravotní pojišťovnou,</w:t>
      </w:r>
    </w:p>
    <w:p w14:paraId="6BAF331F" w14:textId="77777777" w:rsidR="00F6772C" w:rsidRPr="00561B74" w:rsidRDefault="00F6772C" w:rsidP="00F6772C">
      <w:pPr>
        <w:numPr>
          <w:ilvl w:val="0"/>
          <w:numId w:val="17"/>
        </w:numPr>
        <w:spacing w:line="240" w:lineRule="auto"/>
        <w:jc w:val="both"/>
        <w:rPr>
          <w:rFonts w:ascii="Calibri" w:hAnsi="Calibri" w:cs="Calibri"/>
          <w:sz w:val="24"/>
          <w:szCs w:val="24"/>
        </w:rPr>
      </w:pPr>
      <w:r w:rsidRPr="00561B74">
        <w:rPr>
          <w:rFonts w:ascii="Calibri" w:hAnsi="Calibri" w:cs="Calibri"/>
          <w:sz w:val="24"/>
          <w:szCs w:val="24"/>
        </w:rPr>
        <w:t>regresní náhradu, kterou je pojištěný povinen zaplatit orgánu nemocenského pojištění v souvislosti se vznikem nároku na dávku nemocenského pojištění, pokud taková povinnost vznikla v důsledku újmy na zdraví nebo životě člověka,</w:t>
      </w:r>
    </w:p>
    <w:p w14:paraId="3B491E61" w14:textId="77777777" w:rsidR="00F6772C" w:rsidRPr="00561B74" w:rsidRDefault="00F6772C" w:rsidP="00F6772C">
      <w:pPr>
        <w:numPr>
          <w:ilvl w:val="0"/>
          <w:numId w:val="17"/>
        </w:numPr>
        <w:spacing w:line="240" w:lineRule="auto"/>
        <w:jc w:val="both"/>
        <w:rPr>
          <w:rFonts w:ascii="Calibri" w:hAnsi="Calibri" w:cs="Calibri"/>
          <w:sz w:val="24"/>
          <w:szCs w:val="24"/>
        </w:rPr>
      </w:pPr>
      <w:r w:rsidRPr="00561B74">
        <w:rPr>
          <w:rFonts w:ascii="Calibri" w:hAnsi="Calibri" w:cs="Calibri"/>
          <w:sz w:val="24"/>
          <w:szCs w:val="24"/>
        </w:rPr>
        <w:t>pojištění se vztahuje i na případy</w:t>
      </w:r>
      <w:r w:rsidR="00455FE5" w:rsidRPr="00561B74">
        <w:rPr>
          <w:rFonts w:ascii="Calibri" w:hAnsi="Calibri" w:cs="Calibri"/>
          <w:sz w:val="24"/>
          <w:szCs w:val="24"/>
        </w:rPr>
        <w:t xml:space="preserve"> dle bodu a) a b)</w:t>
      </w:r>
      <w:r w:rsidRPr="00561B74">
        <w:rPr>
          <w:rFonts w:ascii="Calibri" w:hAnsi="Calibri" w:cs="Calibri"/>
          <w:sz w:val="24"/>
          <w:szCs w:val="24"/>
        </w:rPr>
        <w:t>, kdy došlo k újmě na zdraví nebo životě vlastních zaměstnanců.</w:t>
      </w:r>
    </w:p>
    <w:p w14:paraId="7F1F3B49" w14:textId="77777777" w:rsidR="00F6772C" w:rsidRPr="00561B74" w:rsidRDefault="00F6772C" w:rsidP="00F6772C">
      <w:pPr>
        <w:spacing w:line="240" w:lineRule="auto"/>
        <w:ind w:left="39"/>
        <w:jc w:val="both"/>
        <w:rPr>
          <w:rFonts w:ascii="Calibri" w:hAnsi="Calibri" w:cs="Calibri"/>
          <w:sz w:val="24"/>
          <w:szCs w:val="24"/>
        </w:rPr>
      </w:pPr>
    </w:p>
    <w:p w14:paraId="6C326DBB" w14:textId="77777777" w:rsidR="00F6772C" w:rsidRPr="00561B74" w:rsidRDefault="00B22FE3" w:rsidP="00F6772C">
      <w:pPr>
        <w:spacing w:line="240" w:lineRule="auto"/>
        <w:ind w:left="39"/>
        <w:jc w:val="both"/>
        <w:rPr>
          <w:rFonts w:ascii="Calibri" w:hAnsi="Calibri" w:cs="Calibri"/>
          <w:sz w:val="24"/>
          <w:szCs w:val="24"/>
        </w:rPr>
      </w:pPr>
      <w:r>
        <w:rPr>
          <w:rFonts w:ascii="Calibri" w:hAnsi="Calibri" w:cs="Calibri"/>
          <w:sz w:val="24"/>
          <w:szCs w:val="24"/>
        </w:rPr>
        <w:t>7</w:t>
      </w:r>
      <w:r w:rsidR="005508F0" w:rsidRPr="00561B74">
        <w:rPr>
          <w:rFonts w:ascii="Calibri" w:hAnsi="Calibri" w:cs="Calibri"/>
          <w:sz w:val="24"/>
          <w:szCs w:val="24"/>
        </w:rPr>
        <w:t xml:space="preserve">. </w:t>
      </w:r>
      <w:r w:rsidR="00F6772C" w:rsidRPr="00561B74">
        <w:rPr>
          <w:rFonts w:ascii="Calibri" w:hAnsi="Calibri" w:cs="Calibri"/>
          <w:sz w:val="24"/>
          <w:szCs w:val="24"/>
        </w:rPr>
        <w:t>Pojištění se vztahuje také na náhradu nákladů nutných k právní ochraně pojištěného proti uplatněnému nároku na náhradu újmy. Pojistitel je povinen uhradit účelně vynaložené náklady:</w:t>
      </w:r>
    </w:p>
    <w:p w14:paraId="65A895D8" w14:textId="77777777" w:rsidR="00F6772C" w:rsidRPr="00561B74" w:rsidRDefault="00F6772C" w:rsidP="00F6772C">
      <w:pPr>
        <w:numPr>
          <w:ilvl w:val="0"/>
          <w:numId w:val="19"/>
        </w:numPr>
        <w:spacing w:line="240" w:lineRule="auto"/>
        <w:jc w:val="both"/>
        <w:rPr>
          <w:rFonts w:ascii="Calibri" w:hAnsi="Calibri" w:cs="Calibri"/>
          <w:sz w:val="24"/>
          <w:szCs w:val="24"/>
        </w:rPr>
      </w:pPr>
      <w:r w:rsidRPr="00561B74">
        <w:rPr>
          <w:rFonts w:ascii="Calibri" w:hAnsi="Calibri" w:cs="Calibri"/>
          <w:sz w:val="24"/>
          <w:szCs w:val="24"/>
        </w:rPr>
        <w:t>řízení o náhradě újmy před příslušným orgánem, pokud bylo nutné ke zjištění povinnosti pojištěného k náhradě újmy nebo její výše v souvislosti se škodnou událostí, a náklady právního zastoupení pojištěného v tomto řízení, a to ve všech stupních,</w:t>
      </w:r>
    </w:p>
    <w:p w14:paraId="0F896380" w14:textId="77777777" w:rsidR="00F6772C" w:rsidRPr="00561B74" w:rsidRDefault="00F6772C" w:rsidP="00F6772C">
      <w:pPr>
        <w:numPr>
          <w:ilvl w:val="0"/>
          <w:numId w:val="19"/>
        </w:numPr>
        <w:spacing w:line="240" w:lineRule="auto"/>
        <w:jc w:val="both"/>
        <w:rPr>
          <w:rFonts w:ascii="Calibri" w:hAnsi="Calibri" w:cs="Calibri"/>
          <w:sz w:val="24"/>
          <w:szCs w:val="24"/>
        </w:rPr>
      </w:pPr>
      <w:r w:rsidRPr="00561B74">
        <w:rPr>
          <w:rFonts w:ascii="Calibri" w:hAnsi="Calibri" w:cs="Calibri"/>
          <w:sz w:val="24"/>
          <w:szCs w:val="24"/>
        </w:rPr>
        <w:t>na obhajobu v trestním řízení (v přípravném řízení i v řízení před soudem ve všech stupních) vedeném proti pojištěnému v souvislosti se škodnou událostí,</w:t>
      </w:r>
    </w:p>
    <w:p w14:paraId="24BAEBC9" w14:textId="77777777" w:rsidR="00F6772C" w:rsidRPr="00561B74" w:rsidRDefault="00F6772C" w:rsidP="00F6772C">
      <w:pPr>
        <w:numPr>
          <w:ilvl w:val="0"/>
          <w:numId w:val="19"/>
        </w:numPr>
        <w:spacing w:line="240" w:lineRule="auto"/>
        <w:jc w:val="both"/>
        <w:rPr>
          <w:rFonts w:ascii="Calibri" w:hAnsi="Calibri" w:cs="Calibri"/>
          <w:sz w:val="24"/>
          <w:szCs w:val="24"/>
        </w:rPr>
      </w:pPr>
      <w:r w:rsidRPr="00561B74">
        <w:rPr>
          <w:rFonts w:ascii="Calibri" w:hAnsi="Calibri" w:cs="Calibri"/>
          <w:sz w:val="24"/>
          <w:szCs w:val="24"/>
        </w:rPr>
        <w:t>mimosoudní projednávání nároku poškozeného na náhradu újmy</w:t>
      </w:r>
      <w:r w:rsidR="00B22FE3">
        <w:rPr>
          <w:rFonts w:ascii="Calibri" w:hAnsi="Calibri" w:cs="Calibri"/>
          <w:sz w:val="24"/>
          <w:szCs w:val="24"/>
        </w:rPr>
        <w:t>, pokud se k tomu pojistitel písemně zavázal</w:t>
      </w:r>
      <w:r w:rsidRPr="00561B74">
        <w:rPr>
          <w:rFonts w:ascii="Calibri" w:hAnsi="Calibri" w:cs="Calibri"/>
          <w:sz w:val="24"/>
          <w:szCs w:val="24"/>
        </w:rPr>
        <w:t>.</w:t>
      </w:r>
    </w:p>
    <w:p w14:paraId="31F44008" w14:textId="77777777" w:rsidR="00F6772C" w:rsidRPr="00561B74" w:rsidRDefault="00F6772C" w:rsidP="00F6772C">
      <w:pPr>
        <w:spacing w:line="240" w:lineRule="auto"/>
        <w:ind w:left="39"/>
        <w:jc w:val="both"/>
        <w:rPr>
          <w:rFonts w:ascii="Calibri" w:hAnsi="Calibri" w:cs="Calibri"/>
          <w:sz w:val="20"/>
        </w:rPr>
      </w:pPr>
    </w:p>
    <w:p w14:paraId="02494DB9" w14:textId="77777777" w:rsidR="00986907" w:rsidRPr="00561B74" w:rsidRDefault="001B638A" w:rsidP="00042167">
      <w:pPr>
        <w:spacing w:line="240" w:lineRule="auto"/>
        <w:jc w:val="both"/>
        <w:rPr>
          <w:rFonts w:ascii="Calibri" w:hAnsi="Calibri" w:cs="Calibri"/>
          <w:sz w:val="24"/>
          <w:szCs w:val="24"/>
        </w:rPr>
      </w:pPr>
      <w:r>
        <w:rPr>
          <w:rFonts w:ascii="Calibri" w:hAnsi="Calibri" w:cs="Calibri"/>
          <w:sz w:val="24"/>
          <w:szCs w:val="24"/>
        </w:rPr>
        <w:t>8</w:t>
      </w:r>
      <w:r w:rsidR="005508F0" w:rsidRPr="00561B74">
        <w:rPr>
          <w:rFonts w:ascii="Calibri" w:hAnsi="Calibri" w:cs="Calibri"/>
          <w:sz w:val="24"/>
          <w:szCs w:val="24"/>
        </w:rPr>
        <w:t xml:space="preserve">. </w:t>
      </w:r>
      <w:r w:rsidR="00986907" w:rsidRPr="00561B74">
        <w:rPr>
          <w:rFonts w:ascii="Calibri" w:hAnsi="Calibri" w:cs="Calibri"/>
          <w:sz w:val="24"/>
          <w:szCs w:val="24"/>
        </w:rPr>
        <w:t xml:space="preserve">Pojištění se dále vztahuje na </w:t>
      </w:r>
      <w:r w:rsidR="0056162C" w:rsidRPr="00561B74">
        <w:rPr>
          <w:rFonts w:ascii="Calibri" w:hAnsi="Calibri" w:cs="Calibri"/>
          <w:sz w:val="24"/>
          <w:szCs w:val="24"/>
        </w:rPr>
        <w:t xml:space="preserve">povinnost pojištěného nahradit </w:t>
      </w:r>
      <w:r w:rsidR="00986907" w:rsidRPr="00561B74">
        <w:rPr>
          <w:rFonts w:ascii="Calibri" w:hAnsi="Calibri" w:cs="Calibri"/>
          <w:sz w:val="24"/>
          <w:szCs w:val="24"/>
        </w:rPr>
        <w:t>újmu</w:t>
      </w:r>
      <w:r w:rsidR="00A8208F" w:rsidRPr="00561B74">
        <w:rPr>
          <w:rFonts w:ascii="Calibri" w:hAnsi="Calibri" w:cs="Calibri"/>
          <w:sz w:val="24"/>
          <w:szCs w:val="24"/>
        </w:rPr>
        <w:t xml:space="preserve"> způsobenou/vzniklou</w:t>
      </w:r>
      <w:r w:rsidR="00986907" w:rsidRPr="00561B74">
        <w:rPr>
          <w:rFonts w:ascii="Calibri" w:hAnsi="Calibri" w:cs="Calibri"/>
          <w:sz w:val="24"/>
          <w:szCs w:val="24"/>
        </w:rPr>
        <w:t>:</w:t>
      </w:r>
    </w:p>
    <w:p w14:paraId="51376B60" w14:textId="77777777" w:rsidR="00F6772C" w:rsidRPr="00561B74" w:rsidRDefault="00F6772C" w:rsidP="000856B4">
      <w:pPr>
        <w:spacing w:line="240" w:lineRule="auto"/>
        <w:ind w:left="39"/>
        <w:jc w:val="both"/>
        <w:rPr>
          <w:rFonts w:ascii="Calibri" w:hAnsi="Calibri" w:cs="Calibri"/>
          <w:sz w:val="24"/>
          <w:szCs w:val="24"/>
        </w:rPr>
      </w:pPr>
    </w:p>
    <w:p w14:paraId="561F326B" w14:textId="77777777" w:rsidR="00986907" w:rsidRPr="00561B74" w:rsidRDefault="00986907"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na movité věci, kterou pojištěný</w:t>
      </w:r>
      <w:r w:rsidR="00A8208F" w:rsidRPr="00561B74">
        <w:rPr>
          <w:rFonts w:ascii="Calibri" w:hAnsi="Calibri" w:cs="Calibri"/>
          <w:sz w:val="24"/>
          <w:szCs w:val="24"/>
        </w:rPr>
        <w:t xml:space="preserve"> </w:t>
      </w:r>
      <w:r w:rsidRPr="00561B74">
        <w:rPr>
          <w:rFonts w:ascii="Calibri" w:hAnsi="Calibri" w:cs="Calibri"/>
          <w:sz w:val="24"/>
          <w:szCs w:val="24"/>
        </w:rPr>
        <w:t>převzal za účelem provedení objednané činnosti</w:t>
      </w:r>
      <w:r w:rsidR="00A8208F" w:rsidRPr="00561B74">
        <w:rPr>
          <w:rFonts w:ascii="Calibri" w:hAnsi="Calibri" w:cs="Calibri"/>
          <w:sz w:val="24"/>
          <w:szCs w:val="24"/>
        </w:rPr>
        <w:t>,</w:t>
      </w:r>
    </w:p>
    <w:p w14:paraId="05DE1CF9" w14:textId="77777777" w:rsidR="00B7009B" w:rsidRPr="00561B74" w:rsidRDefault="00B7009B"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na movité věci, kterou pojištěný převzal za účelem užívání,</w:t>
      </w:r>
    </w:p>
    <w:p w14:paraId="350A37BA" w14:textId="77777777" w:rsidR="00986907" w:rsidRPr="00561B74" w:rsidRDefault="00986907"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na věcech vnesených a odložených</w:t>
      </w:r>
      <w:r w:rsidR="00A8208F" w:rsidRPr="00561B74">
        <w:rPr>
          <w:rFonts w:ascii="Calibri" w:hAnsi="Calibri" w:cs="Calibri"/>
          <w:sz w:val="24"/>
          <w:szCs w:val="24"/>
        </w:rPr>
        <w:t>,</w:t>
      </w:r>
    </w:p>
    <w:p w14:paraId="6408A80B" w14:textId="77777777" w:rsidR="00986907" w:rsidRPr="00561B74" w:rsidRDefault="00986907"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na věcech zaměstnanců</w:t>
      </w:r>
      <w:r w:rsidR="00A8208F" w:rsidRPr="00561B74">
        <w:rPr>
          <w:rFonts w:ascii="Calibri" w:hAnsi="Calibri" w:cs="Calibri"/>
          <w:sz w:val="24"/>
          <w:szCs w:val="24"/>
        </w:rPr>
        <w:t>,</w:t>
      </w:r>
    </w:p>
    <w:p w14:paraId="3B23A728" w14:textId="77777777" w:rsidR="0027417D" w:rsidRPr="00561B74" w:rsidRDefault="00986907"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zavlečením, rozšířením a přenosem nakažlivé choroby vč. HIV</w:t>
      </w:r>
      <w:r w:rsidR="006375C0" w:rsidRPr="00561B74">
        <w:rPr>
          <w:rFonts w:ascii="Calibri" w:hAnsi="Calibri" w:cs="Calibri"/>
          <w:sz w:val="24"/>
          <w:szCs w:val="24"/>
        </w:rPr>
        <w:t xml:space="preserve"> či jakékoli formy hepatitidy</w:t>
      </w:r>
      <w:r w:rsidR="00A8208F" w:rsidRPr="00561B74">
        <w:rPr>
          <w:rFonts w:ascii="Calibri" w:hAnsi="Calibri" w:cs="Calibri"/>
          <w:sz w:val="24"/>
          <w:szCs w:val="24"/>
        </w:rPr>
        <w:t>,</w:t>
      </w:r>
      <w:r w:rsidR="00233ADF" w:rsidRPr="00561B74">
        <w:rPr>
          <w:rFonts w:ascii="Calibri" w:hAnsi="Calibri" w:cs="Calibri"/>
          <w:sz w:val="24"/>
          <w:szCs w:val="24"/>
        </w:rPr>
        <w:t xml:space="preserve"> zavlečením nebo rozšířením nakažlivé choroby lidí</w:t>
      </w:r>
      <w:r w:rsidR="00493846" w:rsidRPr="00561B74">
        <w:rPr>
          <w:rFonts w:ascii="Calibri" w:hAnsi="Calibri" w:cs="Calibri"/>
          <w:sz w:val="24"/>
          <w:szCs w:val="24"/>
        </w:rPr>
        <w:t>, přenosem bakterie salmonela</w:t>
      </w:r>
      <w:r w:rsidR="00233ADF" w:rsidRPr="00561B74">
        <w:rPr>
          <w:rFonts w:ascii="Calibri" w:hAnsi="Calibri" w:cs="Calibri"/>
          <w:sz w:val="24"/>
          <w:szCs w:val="24"/>
        </w:rPr>
        <w:t xml:space="preserve"> a činností krevní banky, </w:t>
      </w:r>
    </w:p>
    <w:p w14:paraId="61D0785B" w14:textId="77777777" w:rsidR="0027417D" w:rsidRPr="00561B74" w:rsidRDefault="0027417D"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výkonem plastické nebo kosmetické chir</w:t>
      </w:r>
      <w:r w:rsidR="00CF28D6" w:rsidRPr="00561B74">
        <w:rPr>
          <w:rFonts w:ascii="Calibri" w:hAnsi="Calibri" w:cs="Calibri"/>
          <w:sz w:val="24"/>
          <w:szCs w:val="24"/>
        </w:rPr>
        <w:t xml:space="preserve">urgie pouze pro estetické účely </w:t>
      </w:r>
    </w:p>
    <w:p w14:paraId="15A61833" w14:textId="77777777" w:rsidR="00064F45" w:rsidRPr="00561B74" w:rsidRDefault="00064F45"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při umělém přerušení těhotenství, a to i tehdy jedná-li se o zdravotní výkon neposkytovaný na náklady zdravotní pojišťovny (tzn. výkon za přímou úhradu)</w:t>
      </w:r>
    </w:p>
    <w:p w14:paraId="1FFB078A" w14:textId="77777777" w:rsidR="00986907" w:rsidRPr="00561B74" w:rsidRDefault="00986907"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vadným výrobkem, kdy výrobkem nebo</w:t>
      </w:r>
      <w:r w:rsidR="00A8208F" w:rsidRPr="00561B74">
        <w:rPr>
          <w:rFonts w:ascii="Calibri" w:hAnsi="Calibri" w:cs="Calibri"/>
          <w:sz w:val="24"/>
          <w:szCs w:val="24"/>
        </w:rPr>
        <w:t xml:space="preserve"> </w:t>
      </w:r>
      <w:r w:rsidRPr="00561B74">
        <w:rPr>
          <w:rFonts w:ascii="Calibri" w:hAnsi="Calibri" w:cs="Calibri"/>
          <w:sz w:val="24"/>
          <w:szCs w:val="24"/>
        </w:rPr>
        <w:t xml:space="preserve">jeho součástí jsou látky pocházející z lidského těla (např. tkáně, krev při transplantacích, orgány apod.) nebo z těchto látek získané deriváty nebo </w:t>
      </w:r>
      <w:r w:rsidR="00A8208F" w:rsidRPr="00561B74">
        <w:rPr>
          <w:rFonts w:ascii="Calibri" w:hAnsi="Calibri" w:cs="Calibri"/>
          <w:sz w:val="24"/>
          <w:szCs w:val="24"/>
        </w:rPr>
        <w:t>biosyntetické výrobky,</w:t>
      </w:r>
    </w:p>
    <w:p w14:paraId="7C5CF6A5" w14:textId="77777777" w:rsidR="00986907" w:rsidRPr="00561B74" w:rsidRDefault="00986907"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radiací a elektromagnetickým zářením</w:t>
      </w:r>
      <w:r w:rsidR="00A8208F" w:rsidRPr="00561B74">
        <w:rPr>
          <w:rFonts w:ascii="Calibri" w:hAnsi="Calibri" w:cs="Calibri"/>
          <w:sz w:val="24"/>
          <w:szCs w:val="24"/>
        </w:rPr>
        <w:t>,</w:t>
      </w:r>
    </w:p>
    <w:p w14:paraId="156F1D04" w14:textId="77777777" w:rsidR="00986907" w:rsidRPr="00561B74" w:rsidRDefault="0056162C"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dotčením práva na ochranu osobnosti člověka nebo právní osobnosti právnické osoby</w:t>
      </w:r>
      <w:r w:rsidR="002C6827" w:rsidRPr="00561B74">
        <w:rPr>
          <w:rFonts w:ascii="Calibri" w:hAnsi="Calibri" w:cs="Calibri"/>
          <w:sz w:val="24"/>
          <w:szCs w:val="24"/>
        </w:rPr>
        <w:t xml:space="preserve"> při poskytování zdravotní péče</w:t>
      </w:r>
      <w:r w:rsidRPr="00561B74">
        <w:rPr>
          <w:rFonts w:ascii="Calibri" w:hAnsi="Calibri" w:cs="Calibri"/>
          <w:sz w:val="24"/>
          <w:szCs w:val="24"/>
        </w:rPr>
        <w:t>,</w:t>
      </w:r>
    </w:p>
    <w:p w14:paraId="62B8ECB5" w14:textId="77777777" w:rsidR="00BD1FDE" w:rsidRPr="00561B74" w:rsidRDefault="00BD1FDE"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 xml:space="preserve">osobou, vykonávající smluvní odbornou činnost pro </w:t>
      </w:r>
      <w:r w:rsidR="00493846" w:rsidRPr="00561B74">
        <w:rPr>
          <w:rFonts w:ascii="Calibri" w:hAnsi="Calibri" w:cs="Calibri"/>
          <w:sz w:val="24"/>
          <w:szCs w:val="24"/>
        </w:rPr>
        <w:t>NPK na základě uzavřeného smluvního vztahu</w:t>
      </w:r>
      <w:r w:rsidR="00042167" w:rsidRPr="00561B74">
        <w:rPr>
          <w:rFonts w:ascii="Calibri" w:hAnsi="Calibri" w:cs="Calibri"/>
          <w:sz w:val="24"/>
          <w:szCs w:val="24"/>
        </w:rPr>
        <w:t xml:space="preserve"> </w:t>
      </w:r>
      <w:r w:rsidR="00493846" w:rsidRPr="00561B74">
        <w:rPr>
          <w:rFonts w:ascii="Calibri" w:hAnsi="Calibri" w:cs="Calibri"/>
          <w:sz w:val="24"/>
          <w:szCs w:val="24"/>
        </w:rPr>
        <w:t>a dohody o práci konané mimo pracovní poměr</w:t>
      </w:r>
      <w:r w:rsidRPr="00561B74">
        <w:rPr>
          <w:rFonts w:ascii="Calibri" w:hAnsi="Calibri" w:cs="Calibri"/>
          <w:sz w:val="24"/>
          <w:szCs w:val="24"/>
        </w:rPr>
        <w:t xml:space="preserve"> (stáže, specializované pobyty, odborné školící praxe, </w:t>
      </w:r>
      <w:proofErr w:type="gramStart"/>
      <w:r w:rsidRPr="00561B74">
        <w:rPr>
          <w:rFonts w:ascii="Calibri" w:hAnsi="Calibri" w:cs="Calibri"/>
          <w:sz w:val="24"/>
          <w:szCs w:val="24"/>
        </w:rPr>
        <w:t>dobrovolníci,</w:t>
      </w:r>
      <w:proofErr w:type="gramEnd"/>
      <w:r w:rsidRPr="00561B74">
        <w:rPr>
          <w:rFonts w:ascii="Calibri" w:hAnsi="Calibri" w:cs="Calibri"/>
          <w:sz w:val="24"/>
          <w:szCs w:val="24"/>
        </w:rPr>
        <w:t xml:space="preserve"> apod.)</w:t>
      </w:r>
      <w:r w:rsidR="00493846" w:rsidRPr="00561B74">
        <w:rPr>
          <w:rFonts w:ascii="Calibri" w:hAnsi="Calibri" w:cs="Calibri"/>
          <w:sz w:val="24"/>
          <w:szCs w:val="24"/>
        </w:rPr>
        <w:t xml:space="preserve"> Jedná se o externí pracovníky.</w:t>
      </w:r>
      <w:r w:rsidRPr="00561B74">
        <w:rPr>
          <w:rFonts w:ascii="Calibri" w:hAnsi="Calibri" w:cs="Calibri"/>
          <w:sz w:val="24"/>
          <w:szCs w:val="24"/>
        </w:rPr>
        <w:t xml:space="preserve"> Z pojištění jsou vyloučeny </w:t>
      </w:r>
      <w:r w:rsidR="00455FE5" w:rsidRPr="00561B74">
        <w:rPr>
          <w:rFonts w:ascii="Calibri" w:hAnsi="Calibri" w:cs="Calibri"/>
          <w:sz w:val="24"/>
          <w:szCs w:val="24"/>
        </w:rPr>
        <w:t>újmy</w:t>
      </w:r>
      <w:r w:rsidRPr="00561B74">
        <w:rPr>
          <w:rFonts w:ascii="Calibri" w:hAnsi="Calibri" w:cs="Calibri"/>
          <w:sz w:val="24"/>
          <w:szCs w:val="24"/>
        </w:rPr>
        <w:t xml:space="preserve"> způsobené těmito osobami, pokud byla příslušná činnost vykonávána bez odborného dohledu oprávněného zaměstnance nebo pracovníka pojištěného, přestože je takový dohled pro výkon příslušné činnosti nutný,</w:t>
      </w:r>
    </w:p>
    <w:p w14:paraId="6B5DB5D1" w14:textId="77777777" w:rsidR="00212847" w:rsidRPr="00561B74" w:rsidRDefault="00191A91"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 xml:space="preserve">v souvislosti s činností pojištěného „mimoškolní výchova a vzdělávání, pořádání kurzů, školení vč. lektorské činnosti“ </w:t>
      </w:r>
    </w:p>
    <w:p w14:paraId="0514F982" w14:textId="77777777" w:rsidR="00191A91" w:rsidRPr="00561B74" w:rsidRDefault="00191A91"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studentu, který vykonává praxi u pojištěného</w:t>
      </w:r>
    </w:p>
    <w:p w14:paraId="10B496F8" w14:textId="77777777" w:rsidR="00986907" w:rsidRPr="00561B74" w:rsidRDefault="00986907" w:rsidP="000856B4">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lastRenderedPageBreak/>
        <w:t>na životním prostředí</w:t>
      </w:r>
      <w:r w:rsidR="00102DD2" w:rsidRPr="00561B74">
        <w:rPr>
          <w:rFonts w:ascii="Calibri" w:hAnsi="Calibri" w:cs="Calibri"/>
          <w:sz w:val="24"/>
          <w:szCs w:val="24"/>
        </w:rPr>
        <w:t>, pojištění se vztahuje i na náklady spojené s vyčištěním nebo dekontaminací</w:t>
      </w:r>
      <w:r w:rsidR="00493846" w:rsidRPr="00561B74">
        <w:rPr>
          <w:rFonts w:ascii="Calibri" w:hAnsi="Calibri" w:cs="Calibri"/>
          <w:sz w:val="24"/>
          <w:szCs w:val="24"/>
        </w:rPr>
        <w:t xml:space="preserve">, </w:t>
      </w:r>
    </w:p>
    <w:p w14:paraId="7B10580B" w14:textId="77777777" w:rsidR="006201DF" w:rsidRPr="00561B74" w:rsidRDefault="00DA58E3" w:rsidP="006201DF">
      <w:pPr>
        <w:numPr>
          <w:ilvl w:val="0"/>
          <w:numId w:val="21"/>
        </w:numPr>
        <w:spacing w:line="240" w:lineRule="auto"/>
        <w:ind w:left="426" w:hanging="426"/>
        <w:jc w:val="both"/>
        <w:rPr>
          <w:rFonts w:ascii="Calibri" w:hAnsi="Calibri" w:cs="Calibri"/>
          <w:sz w:val="24"/>
          <w:szCs w:val="24"/>
        </w:rPr>
      </w:pPr>
      <w:r w:rsidRPr="00561B74">
        <w:rPr>
          <w:rFonts w:ascii="Calibri" w:hAnsi="Calibri" w:cs="Calibri"/>
          <w:sz w:val="24"/>
          <w:szCs w:val="24"/>
        </w:rPr>
        <w:t>na odpovědnost za škodu vzniklou při posky</w:t>
      </w:r>
      <w:r w:rsidR="0068567C" w:rsidRPr="00561B74">
        <w:rPr>
          <w:rFonts w:ascii="Calibri" w:hAnsi="Calibri" w:cs="Calibri"/>
          <w:sz w:val="24"/>
          <w:szCs w:val="24"/>
        </w:rPr>
        <w:t>t</w:t>
      </w:r>
      <w:r w:rsidRPr="00561B74">
        <w:rPr>
          <w:rFonts w:ascii="Calibri" w:hAnsi="Calibri" w:cs="Calibri"/>
          <w:sz w:val="24"/>
          <w:szCs w:val="24"/>
        </w:rPr>
        <w:t>ování první pomoci v</w:t>
      </w:r>
      <w:r w:rsidR="006201DF" w:rsidRPr="00561B74">
        <w:rPr>
          <w:rFonts w:ascii="Calibri" w:hAnsi="Calibri" w:cs="Calibri"/>
          <w:sz w:val="24"/>
          <w:szCs w:val="24"/>
        </w:rPr>
        <w:t> </w:t>
      </w:r>
      <w:r w:rsidRPr="00561B74">
        <w:rPr>
          <w:rFonts w:ascii="Calibri" w:hAnsi="Calibri" w:cs="Calibri"/>
          <w:sz w:val="24"/>
          <w:szCs w:val="24"/>
        </w:rPr>
        <w:t>zahraničí</w:t>
      </w:r>
      <w:r w:rsidR="006201DF" w:rsidRPr="00561B74">
        <w:rPr>
          <w:rFonts w:ascii="Calibri" w:hAnsi="Calibri" w:cs="Calibri"/>
          <w:sz w:val="24"/>
          <w:szCs w:val="24"/>
        </w:rPr>
        <w:t>.</w:t>
      </w:r>
    </w:p>
    <w:p w14:paraId="3D0EA7CA" w14:textId="77777777" w:rsidR="00042167" w:rsidRPr="00561B74" w:rsidRDefault="00042167" w:rsidP="00042167">
      <w:pPr>
        <w:spacing w:line="240" w:lineRule="auto"/>
        <w:ind w:left="426"/>
        <w:jc w:val="both"/>
        <w:rPr>
          <w:rFonts w:ascii="Calibri" w:hAnsi="Calibri" w:cs="Calibri"/>
          <w:sz w:val="24"/>
          <w:szCs w:val="24"/>
        </w:rPr>
      </w:pPr>
    </w:p>
    <w:p w14:paraId="7647CBB8" w14:textId="77777777" w:rsidR="006201DF" w:rsidRPr="00561B74" w:rsidRDefault="001B638A" w:rsidP="006201DF">
      <w:pPr>
        <w:pStyle w:val="Heading4NumberedEV"/>
        <w:spacing w:line="276" w:lineRule="auto"/>
        <w:rPr>
          <w:rFonts w:ascii="Calibri" w:hAnsi="Calibri" w:cs="Calibri"/>
          <w:b w:val="0"/>
          <w:bCs/>
          <w:i w:val="0"/>
          <w:iCs/>
          <w:sz w:val="24"/>
          <w:szCs w:val="24"/>
        </w:rPr>
      </w:pPr>
      <w:r>
        <w:rPr>
          <w:rFonts w:ascii="Calibri" w:hAnsi="Calibri" w:cs="Calibri"/>
          <w:b w:val="0"/>
          <w:bCs/>
          <w:i w:val="0"/>
          <w:iCs/>
          <w:sz w:val="24"/>
          <w:szCs w:val="24"/>
        </w:rPr>
        <w:t>9</w:t>
      </w:r>
      <w:r w:rsidR="005508F0" w:rsidRPr="00561B74">
        <w:rPr>
          <w:rFonts w:ascii="Calibri" w:hAnsi="Calibri" w:cs="Calibri"/>
          <w:b w:val="0"/>
          <w:bCs/>
          <w:i w:val="0"/>
          <w:iCs/>
          <w:sz w:val="24"/>
          <w:szCs w:val="24"/>
        </w:rPr>
        <w:t xml:space="preserve">. </w:t>
      </w:r>
      <w:r w:rsidR="006201DF" w:rsidRPr="00561B74">
        <w:rPr>
          <w:rFonts w:ascii="Calibri" w:hAnsi="Calibri" w:cs="Calibri"/>
          <w:b w:val="0"/>
          <w:bCs/>
          <w:i w:val="0"/>
          <w:iCs/>
          <w:sz w:val="24"/>
          <w:szCs w:val="24"/>
        </w:rPr>
        <w:t>Křížová odpovědnost</w:t>
      </w:r>
    </w:p>
    <w:p w14:paraId="3B5F3BCB" w14:textId="77777777" w:rsidR="00F6772C" w:rsidRPr="006201DF" w:rsidRDefault="006201DF" w:rsidP="006201DF">
      <w:pPr>
        <w:pStyle w:val="TableText"/>
        <w:spacing w:line="276" w:lineRule="auto"/>
        <w:rPr>
          <w:rFonts w:ascii="Calibri" w:hAnsi="Calibri" w:cs="Calibri"/>
          <w:sz w:val="24"/>
          <w:szCs w:val="24"/>
        </w:rPr>
      </w:pPr>
      <w:r w:rsidRPr="00561B74">
        <w:rPr>
          <w:rFonts w:ascii="Calibri" w:hAnsi="Calibri" w:cs="Calibri"/>
          <w:sz w:val="24"/>
          <w:szCs w:val="24"/>
        </w:rPr>
        <w:t>Pojištění sjednané touto smlouvou se vztahuje také na škody způsobené navzájem mezi pojištěnými v této smlouvě, jakož i na škody způsobené pojištěnými majetkově propojeným osobám, a to pro veškerý rozsah pojistného krytí a do limitů pojistného plnění sjednaných touto pojistnou smlouvou.</w:t>
      </w:r>
    </w:p>
    <w:p w14:paraId="4F85AE97" w14:textId="77777777" w:rsidR="00026783" w:rsidRDefault="00026783" w:rsidP="00F6772C">
      <w:pPr>
        <w:pStyle w:val="TableText"/>
        <w:rPr>
          <w:rFonts w:ascii="Calibri" w:hAnsi="Calibri" w:cs="Calibri"/>
          <w:sz w:val="24"/>
          <w:szCs w:val="24"/>
        </w:rPr>
      </w:pPr>
    </w:p>
    <w:p w14:paraId="5687BA82" w14:textId="77777777" w:rsidR="000D2925" w:rsidRDefault="00026783" w:rsidP="00F6772C">
      <w:pPr>
        <w:pStyle w:val="TableText"/>
        <w:rPr>
          <w:rFonts w:ascii="Calibri" w:hAnsi="Calibri" w:cs="Calibri"/>
          <w:b/>
          <w:color w:val="2E74B5"/>
          <w:sz w:val="32"/>
          <w:szCs w:val="32"/>
        </w:rPr>
      </w:pPr>
      <w:r w:rsidRPr="00026783">
        <w:rPr>
          <w:rFonts w:ascii="Calibri" w:hAnsi="Calibri" w:cs="Calibri"/>
          <w:b/>
          <w:color w:val="2E74B5"/>
          <w:sz w:val="32"/>
          <w:szCs w:val="32"/>
        </w:rPr>
        <w:t>Poptávaný rozsah pojištění</w:t>
      </w:r>
    </w:p>
    <w:p w14:paraId="300AFD65" w14:textId="77777777" w:rsidR="00026783" w:rsidRPr="00237049" w:rsidRDefault="00026783" w:rsidP="00026783">
      <w:pPr>
        <w:pStyle w:val="Heading3NumberedEV"/>
        <w:numPr>
          <w:ilvl w:val="0"/>
          <w:numId w:val="0"/>
        </w:numPr>
        <w:rPr>
          <w:rFonts w:ascii="Calibri" w:hAnsi="Calibri"/>
          <w:b w:val="0"/>
          <w:i w:val="0"/>
          <w:sz w:val="24"/>
          <w:szCs w:val="24"/>
        </w:rPr>
      </w:pPr>
      <w:r w:rsidRPr="00237049">
        <w:rPr>
          <w:rFonts w:ascii="Calibri" w:hAnsi="Calibri"/>
          <w:i w:val="0"/>
          <w:sz w:val="24"/>
          <w:szCs w:val="24"/>
        </w:rPr>
        <w:t>Pojistník a pojištěný:</w:t>
      </w:r>
      <w:r w:rsidRPr="00237049">
        <w:rPr>
          <w:rFonts w:ascii="Calibri" w:hAnsi="Calibri"/>
          <w:i w:val="0"/>
          <w:sz w:val="24"/>
          <w:szCs w:val="24"/>
        </w:rPr>
        <w:tab/>
      </w:r>
      <w:r w:rsidRPr="00237049">
        <w:rPr>
          <w:rFonts w:ascii="Calibri" w:hAnsi="Calibri"/>
          <w:i w:val="0"/>
          <w:sz w:val="24"/>
          <w:szCs w:val="24"/>
        </w:rPr>
        <w:tab/>
      </w:r>
      <w:r w:rsidRPr="00237049">
        <w:rPr>
          <w:rFonts w:ascii="Calibri" w:hAnsi="Calibri"/>
          <w:b w:val="0"/>
          <w:i w:val="0"/>
          <w:sz w:val="24"/>
          <w:szCs w:val="24"/>
        </w:rPr>
        <w:t xml:space="preserve">Nemocnice Pardubického kraje, a.s </w:t>
      </w:r>
    </w:p>
    <w:p w14:paraId="30A7E24F" w14:textId="77777777" w:rsidR="00026783" w:rsidRPr="00237049" w:rsidRDefault="00026783" w:rsidP="00026783">
      <w:pPr>
        <w:pStyle w:val="Heading3NumberedEV"/>
        <w:numPr>
          <w:ilvl w:val="0"/>
          <w:numId w:val="0"/>
        </w:numPr>
        <w:rPr>
          <w:rFonts w:ascii="Calibri" w:hAnsi="Calibri"/>
          <w:i w:val="0"/>
          <w:sz w:val="24"/>
          <w:szCs w:val="24"/>
        </w:rPr>
      </w:pPr>
      <w:r w:rsidRPr="00237049">
        <w:rPr>
          <w:rFonts w:ascii="Calibri" w:hAnsi="Calibri"/>
          <w:i w:val="0"/>
          <w:sz w:val="24"/>
          <w:szCs w:val="24"/>
        </w:rPr>
        <w:t>Společnost Nemocnice Pardubického kraje, a.s. tvoří pět pracovišť:</w:t>
      </w:r>
    </w:p>
    <w:p w14:paraId="33A1C9A4" w14:textId="77777777" w:rsidR="00026783" w:rsidRPr="00026783" w:rsidRDefault="00026783" w:rsidP="00026783">
      <w:pPr>
        <w:ind w:firstLine="708"/>
        <w:rPr>
          <w:rFonts w:ascii="Calibri" w:hAnsi="Calibri" w:cs="Calibri"/>
          <w:sz w:val="24"/>
          <w:szCs w:val="24"/>
        </w:rPr>
      </w:pPr>
      <w:r w:rsidRPr="00026783">
        <w:rPr>
          <w:rFonts w:ascii="Calibri" w:hAnsi="Calibri" w:cs="Calibri"/>
          <w:sz w:val="24"/>
          <w:szCs w:val="24"/>
        </w:rPr>
        <w:t>Pardubická nemocnice </w:t>
      </w:r>
    </w:p>
    <w:p w14:paraId="60C1635B" w14:textId="77777777" w:rsidR="00026783" w:rsidRPr="00026783" w:rsidRDefault="00026783" w:rsidP="00026783">
      <w:pPr>
        <w:ind w:firstLine="708"/>
        <w:rPr>
          <w:rFonts w:ascii="Calibri" w:hAnsi="Calibri" w:cs="Calibri"/>
          <w:sz w:val="24"/>
          <w:szCs w:val="24"/>
        </w:rPr>
      </w:pPr>
      <w:r w:rsidRPr="00026783">
        <w:rPr>
          <w:rFonts w:ascii="Calibri" w:hAnsi="Calibri" w:cs="Calibri"/>
          <w:sz w:val="24"/>
          <w:szCs w:val="24"/>
        </w:rPr>
        <w:t>Chrudimská nemocnice</w:t>
      </w:r>
    </w:p>
    <w:p w14:paraId="760D7E89" w14:textId="77777777" w:rsidR="00026783" w:rsidRPr="00026783" w:rsidRDefault="00026783" w:rsidP="00026783">
      <w:pPr>
        <w:ind w:firstLine="708"/>
        <w:rPr>
          <w:rFonts w:ascii="Calibri" w:hAnsi="Calibri" w:cs="Calibri"/>
          <w:sz w:val="24"/>
          <w:szCs w:val="24"/>
        </w:rPr>
      </w:pPr>
      <w:r w:rsidRPr="00026783">
        <w:rPr>
          <w:rFonts w:ascii="Calibri" w:hAnsi="Calibri" w:cs="Calibri"/>
          <w:sz w:val="24"/>
          <w:szCs w:val="24"/>
        </w:rPr>
        <w:t>Orlickoústecká nemocnice</w:t>
      </w:r>
    </w:p>
    <w:p w14:paraId="7EBC3DDC" w14:textId="77777777" w:rsidR="00026783" w:rsidRPr="00026783" w:rsidRDefault="00026783" w:rsidP="00026783">
      <w:pPr>
        <w:ind w:firstLine="708"/>
        <w:rPr>
          <w:rFonts w:ascii="Calibri" w:hAnsi="Calibri" w:cs="Calibri"/>
          <w:sz w:val="24"/>
          <w:szCs w:val="24"/>
        </w:rPr>
      </w:pPr>
      <w:r w:rsidRPr="00026783">
        <w:rPr>
          <w:rFonts w:ascii="Calibri" w:hAnsi="Calibri" w:cs="Calibri"/>
          <w:sz w:val="24"/>
          <w:szCs w:val="24"/>
        </w:rPr>
        <w:t>Litomyšlská nemocnice</w:t>
      </w:r>
    </w:p>
    <w:p w14:paraId="169E16F0" w14:textId="77777777" w:rsidR="00026783" w:rsidRPr="00026783" w:rsidRDefault="00026783" w:rsidP="00026783">
      <w:pPr>
        <w:ind w:firstLine="708"/>
        <w:rPr>
          <w:rFonts w:ascii="Calibri" w:hAnsi="Calibri" w:cs="Calibri"/>
          <w:sz w:val="24"/>
          <w:szCs w:val="24"/>
        </w:rPr>
      </w:pPr>
      <w:r w:rsidRPr="00026783">
        <w:rPr>
          <w:rFonts w:ascii="Calibri" w:hAnsi="Calibri" w:cs="Calibri"/>
          <w:sz w:val="24"/>
          <w:szCs w:val="24"/>
        </w:rPr>
        <w:t>Svitavská nemocnice</w:t>
      </w:r>
    </w:p>
    <w:p w14:paraId="49E2ABF6" w14:textId="77777777" w:rsidR="00026783" w:rsidRPr="00237049" w:rsidRDefault="00026783" w:rsidP="00026783">
      <w:pPr>
        <w:pStyle w:val="Heading3NumberedEV"/>
        <w:numPr>
          <w:ilvl w:val="0"/>
          <w:numId w:val="0"/>
        </w:numPr>
        <w:rPr>
          <w:rFonts w:ascii="Calibri" w:hAnsi="Calibri"/>
          <w:i w:val="0"/>
          <w:sz w:val="24"/>
          <w:szCs w:val="24"/>
        </w:rPr>
      </w:pPr>
      <w:r w:rsidRPr="00237049">
        <w:rPr>
          <w:rFonts w:ascii="Calibri" w:hAnsi="Calibri"/>
          <w:i w:val="0"/>
          <w:sz w:val="24"/>
          <w:szCs w:val="24"/>
        </w:rPr>
        <w:t>Spolupojištěné osoby pro pojištění odpovědnosti:</w:t>
      </w:r>
    </w:p>
    <w:p w14:paraId="17EBCDBE" w14:textId="77777777" w:rsidR="00026783" w:rsidRPr="00026783" w:rsidRDefault="00026783" w:rsidP="00026783">
      <w:pPr>
        <w:ind w:firstLine="708"/>
        <w:rPr>
          <w:rFonts w:ascii="Calibri" w:hAnsi="Calibri" w:cs="Calibri"/>
          <w:sz w:val="24"/>
          <w:szCs w:val="24"/>
        </w:rPr>
      </w:pPr>
      <w:r w:rsidRPr="00026783">
        <w:rPr>
          <w:rFonts w:ascii="Calibri" w:hAnsi="Calibri" w:cs="Calibri"/>
          <w:sz w:val="24"/>
          <w:szCs w:val="24"/>
        </w:rPr>
        <w:t>Žák, student či stážista na praxi u pojištěného</w:t>
      </w:r>
    </w:p>
    <w:p w14:paraId="4C40AF8A" w14:textId="77777777" w:rsidR="00026783" w:rsidRPr="00026783" w:rsidRDefault="00026783" w:rsidP="00026783">
      <w:pPr>
        <w:ind w:firstLine="708"/>
        <w:rPr>
          <w:rFonts w:ascii="Calibri" w:hAnsi="Calibri" w:cs="Calibri"/>
          <w:sz w:val="24"/>
          <w:szCs w:val="24"/>
        </w:rPr>
      </w:pPr>
      <w:r w:rsidRPr="00026783">
        <w:rPr>
          <w:rFonts w:ascii="Calibri" w:hAnsi="Calibri" w:cs="Calibri"/>
          <w:sz w:val="24"/>
          <w:szCs w:val="24"/>
        </w:rPr>
        <w:t>Spolupracující a zastupující lékaři téže specializace u pojištěného</w:t>
      </w:r>
    </w:p>
    <w:p w14:paraId="689B1FD7" w14:textId="77777777" w:rsidR="00026783" w:rsidRPr="00026783" w:rsidRDefault="00026783" w:rsidP="00026783">
      <w:pPr>
        <w:ind w:firstLine="708"/>
        <w:rPr>
          <w:rFonts w:ascii="Calibri" w:hAnsi="Calibri" w:cs="Calibri"/>
          <w:sz w:val="24"/>
          <w:szCs w:val="24"/>
        </w:rPr>
      </w:pPr>
      <w:r w:rsidRPr="00026783">
        <w:rPr>
          <w:rFonts w:ascii="Calibri" w:hAnsi="Calibri" w:cs="Calibri"/>
          <w:sz w:val="24"/>
          <w:szCs w:val="24"/>
        </w:rPr>
        <w:t>Další spolupracující osoby u pojištěného, zejména všeobecná a odborná zdravotní sestra</w:t>
      </w:r>
    </w:p>
    <w:p w14:paraId="22216BBA" w14:textId="77777777" w:rsidR="00026783" w:rsidRDefault="00026783" w:rsidP="00026783">
      <w:pPr>
        <w:ind w:firstLine="708"/>
        <w:rPr>
          <w:rFonts w:ascii="Calibri" w:hAnsi="Calibri" w:cs="Calibri"/>
          <w:sz w:val="24"/>
          <w:szCs w:val="24"/>
        </w:rPr>
      </w:pPr>
      <w:r w:rsidRPr="00026783">
        <w:rPr>
          <w:rFonts w:ascii="Calibri" w:hAnsi="Calibri" w:cs="Calibri"/>
          <w:sz w:val="24"/>
          <w:szCs w:val="24"/>
        </w:rPr>
        <w:t>Členové statutárního orgánu pojištěného vykonávající pojištěnou činnost pro pojištěného</w:t>
      </w:r>
    </w:p>
    <w:p w14:paraId="772E7245" w14:textId="77777777" w:rsidR="00B22FE3" w:rsidRPr="008636B9" w:rsidRDefault="00B22FE3" w:rsidP="00B22FE3">
      <w:pPr>
        <w:spacing w:line="320" w:lineRule="atLeast"/>
        <w:jc w:val="both"/>
        <w:rPr>
          <w:rFonts w:ascii="Calibri" w:hAnsi="Calibri" w:cs="Calibri"/>
          <w:sz w:val="24"/>
          <w:szCs w:val="24"/>
        </w:rPr>
      </w:pPr>
      <w:r>
        <w:rPr>
          <w:bCs/>
          <w:sz w:val="20"/>
          <w:szCs w:val="24"/>
          <w:lang w:eastAsia="cs-CZ"/>
        </w:rPr>
        <w:tab/>
      </w:r>
      <w:r w:rsidRPr="008636B9">
        <w:rPr>
          <w:rFonts w:ascii="Calibri" w:hAnsi="Calibri" w:cs="Calibri"/>
          <w:sz w:val="24"/>
          <w:szCs w:val="24"/>
        </w:rPr>
        <w:t>Dobrovolník při výkonu dobrovolnické služby nebo osoba, které vykonává veřejně prospěšné práce</w:t>
      </w:r>
    </w:p>
    <w:p w14:paraId="4BE2A7A5" w14:textId="77777777" w:rsidR="003D4782" w:rsidRPr="00A17C16" w:rsidRDefault="003D4782" w:rsidP="003D4782">
      <w:pPr>
        <w:pStyle w:val="TableText"/>
        <w:rPr>
          <w:rFonts w:ascii="Calibri" w:hAnsi="Calibri" w:cs="Calibri"/>
          <w:b/>
          <w:sz w:val="24"/>
          <w:szCs w:val="24"/>
        </w:rPr>
      </w:pPr>
    </w:p>
    <w:p w14:paraId="5146320B" w14:textId="77777777" w:rsidR="003D4782" w:rsidRDefault="003D4782" w:rsidP="003D4782">
      <w:pPr>
        <w:spacing w:line="360" w:lineRule="auto"/>
        <w:jc w:val="both"/>
        <w:rPr>
          <w:bCs/>
          <w:sz w:val="20"/>
          <w:szCs w:val="24"/>
          <w:lang w:eastAsia="cs-CZ"/>
        </w:rPr>
      </w:pPr>
      <w:r w:rsidRPr="00A17C16">
        <w:rPr>
          <w:rFonts w:ascii="Calibri" w:hAnsi="Calibri" w:cs="Calibri"/>
          <w:b/>
          <w:sz w:val="24"/>
          <w:szCs w:val="24"/>
        </w:rPr>
        <w:t>Územní rozsah:</w:t>
      </w:r>
      <w:r w:rsidRPr="00A17C16">
        <w:rPr>
          <w:rFonts w:ascii="Calibri" w:hAnsi="Calibri" w:cs="Calibri"/>
          <w:b/>
          <w:sz w:val="24"/>
          <w:szCs w:val="24"/>
        </w:rPr>
        <w:tab/>
      </w:r>
      <w:r w:rsidRPr="00A17C16">
        <w:rPr>
          <w:rFonts w:ascii="Calibri" w:hAnsi="Calibri" w:cs="Calibri"/>
          <w:b/>
          <w:sz w:val="24"/>
          <w:szCs w:val="24"/>
        </w:rPr>
        <w:tab/>
      </w:r>
      <w:r w:rsidRPr="00815BE4">
        <w:rPr>
          <w:rFonts w:ascii="Calibri" w:hAnsi="Calibri" w:cs="Calibri"/>
          <w:b/>
          <w:sz w:val="24"/>
          <w:szCs w:val="24"/>
        </w:rPr>
        <w:t xml:space="preserve">       </w:t>
      </w:r>
      <w:r>
        <w:rPr>
          <w:rFonts w:ascii="Calibri" w:hAnsi="Calibri" w:cs="Calibri"/>
          <w:b/>
          <w:sz w:val="24"/>
          <w:szCs w:val="24"/>
        </w:rPr>
        <w:tab/>
      </w:r>
      <w:r w:rsidRPr="00815BE4">
        <w:rPr>
          <w:b/>
          <w:bCs/>
          <w:sz w:val="20"/>
          <w:szCs w:val="24"/>
          <w:lang w:eastAsia="cs-CZ"/>
        </w:rPr>
        <w:t>Evropa</w:t>
      </w:r>
      <w:r w:rsidRPr="00815BE4">
        <w:rPr>
          <w:bCs/>
          <w:sz w:val="20"/>
          <w:szCs w:val="24"/>
          <w:lang w:eastAsia="cs-CZ"/>
        </w:rPr>
        <w:t xml:space="preserve"> </w:t>
      </w:r>
    </w:p>
    <w:p w14:paraId="0CFAA651" w14:textId="77777777" w:rsidR="003D4782" w:rsidRPr="008636B9" w:rsidRDefault="003D4782" w:rsidP="003D4782">
      <w:pPr>
        <w:spacing w:line="360" w:lineRule="auto"/>
        <w:jc w:val="both"/>
        <w:rPr>
          <w:rFonts w:ascii="Calibri" w:hAnsi="Calibri" w:cs="Calibri"/>
          <w:sz w:val="24"/>
          <w:szCs w:val="24"/>
        </w:rPr>
      </w:pPr>
      <w:r w:rsidRPr="008636B9">
        <w:rPr>
          <w:rFonts w:ascii="Calibri" w:hAnsi="Calibri" w:cs="Calibri"/>
          <w:sz w:val="24"/>
          <w:szCs w:val="24"/>
        </w:rPr>
        <w:t>s výjimkou poskytnutí první pomoci, pro kterou je místem pojištění celý svět vyjma USA a Kanady</w:t>
      </w:r>
      <w:r w:rsidR="008636B9">
        <w:rPr>
          <w:rFonts w:ascii="Calibri" w:hAnsi="Calibri" w:cs="Calibri"/>
          <w:sz w:val="24"/>
          <w:szCs w:val="24"/>
        </w:rPr>
        <w:t>.</w:t>
      </w:r>
      <w:r w:rsidRPr="008636B9">
        <w:rPr>
          <w:rFonts w:ascii="Calibri" w:hAnsi="Calibri" w:cs="Calibri"/>
          <w:sz w:val="24"/>
          <w:szCs w:val="24"/>
        </w:rPr>
        <w:t xml:space="preserve"> Za místo pojištění se považuje místo poskytnutí zdravotní služby (péče) nebo uvedení výrobku na trh nebo místo provozu zdravotnického zařízení, bez ohledu na místo vzniku škody či nemajetkové újmy samotné.</w:t>
      </w:r>
    </w:p>
    <w:p w14:paraId="06CB2E7F" w14:textId="77777777" w:rsidR="003D4782" w:rsidRPr="00A17C16" w:rsidRDefault="003D4782" w:rsidP="003D4782">
      <w:pPr>
        <w:pStyle w:val="TableText"/>
        <w:rPr>
          <w:rFonts w:ascii="Calibri" w:hAnsi="Calibri" w:cs="Calibri"/>
          <w:sz w:val="24"/>
          <w:szCs w:val="24"/>
        </w:rPr>
      </w:pPr>
    </w:p>
    <w:p w14:paraId="3BC37309" w14:textId="77777777" w:rsidR="003D4782" w:rsidRPr="00815BE4" w:rsidRDefault="003D4782" w:rsidP="003D4782">
      <w:pPr>
        <w:spacing w:line="360" w:lineRule="auto"/>
        <w:jc w:val="both"/>
        <w:rPr>
          <w:b/>
          <w:bCs/>
          <w:sz w:val="20"/>
          <w:szCs w:val="24"/>
          <w:lang w:eastAsia="cs-CZ"/>
        </w:rPr>
      </w:pPr>
      <w:r w:rsidRPr="00815BE4">
        <w:rPr>
          <w:b/>
          <w:bCs/>
          <w:sz w:val="20"/>
          <w:szCs w:val="24"/>
          <w:lang w:eastAsia="cs-CZ"/>
        </w:rPr>
        <w:t>Princip pojištění:</w:t>
      </w:r>
      <w:r w:rsidRPr="00815BE4">
        <w:rPr>
          <w:bCs/>
          <w:sz w:val="20"/>
          <w:szCs w:val="24"/>
          <w:lang w:eastAsia="cs-CZ"/>
        </w:rPr>
        <w:tab/>
      </w:r>
      <w:r w:rsidRPr="00815BE4">
        <w:rPr>
          <w:bCs/>
          <w:sz w:val="20"/>
          <w:szCs w:val="24"/>
          <w:lang w:eastAsia="cs-CZ"/>
        </w:rPr>
        <w:tab/>
      </w:r>
      <w:r w:rsidRPr="00815BE4">
        <w:rPr>
          <w:bCs/>
          <w:sz w:val="20"/>
          <w:szCs w:val="24"/>
          <w:lang w:eastAsia="cs-CZ"/>
        </w:rPr>
        <w:tab/>
      </w:r>
      <w:r w:rsidRPr="00815BE4">
        <w:rPr>
          <w:b/>
          <w:bCs/>
          <w:sz w:val="20"/>
          <w:szCs w:val="24"/>
          <w:lang w:eastAsia="cs-CZ"/>
        </w:rPr>
        <w:t>Claims Made</w:t>
      </w:r>
    </w:p>
    <w:p w14:paraId="54210340" w14:textId="77777777" w:rsidR="003D4782" w:rsidRPr="00815BE4" w:rsidRDefault="003D4782" w:rsidP="003D4782">
      <w:pPr>
        <w:spacing w:line="360" w:lineRule="auto"/>
        <w:jc w:val="both"/>
        <w:rPr>
          <w:bCs/>
          <w:sz w:val="20"/>
          <w:szCs w:val="24"/>
          <w:lang w:eastAsia="cs-CZ"/>
        </w:rPr>
      </w:pPr>
    </w:p>
    <w:p w14:paraId="11868612" w14:textId="77777777" w:rsidR="003D4782" w:rsidRPr="00815BE4" w:rsidRDefault="003D4782" w:rsidP="003D4782">
      <w:pPr>
        <w:suppressAutoHyphens/>
        <w:spacing w:line="320" w:lineRule="atLeast"/>
        <w:rPr>
          <w:rFonts w:eastAsia="Arial" w:cs="Times New Roman"/>
          <w:sz w:val="20"/>
        </w:rPr>
      </w:pPr>
      <w:r w:rsidRPr="00815BE4">
        <w:rPr>
          <w:rFonts w:eastAsia="Arial"/>
          <w:b/>
          <w:bCs/>
          <w:sz w:val="20"/>
          <w:szCs w:val="22"/>
        </w:rPr>
        <w:t>Retroaktivita:</w:t>
      </w:r>
      <w:r w:rsidRPr="00815BE4">
        <w:rPr>
          <w:rFonts w:eastAsia="Arial"/>
          <w:b/>
          <w:bCs/>
          <w:sz w:val="20"/>
          <w:szCs w:val="22"/>
        </w:rPr>
        <w:tab/>
      </w:r>
      <w:r w:rsidRPr="00815BE4">
        <w:rPr>
          <w:rFonts w:eastAsia="Arial"/>
          <w:b/>
          <w:bCs/>
          <w:sz w:val="20"/>
          <w:szCs w:val="22"/>
        </w:rPr>
        <w:tab/>
      </w:r>
      <w:r w:rsidRPr="00815BE4">
        <w:rPr>
          <w:rFonts w:eastAsia="Arial" w:cs="Times New Roman"/>
          <w:sz w:val="20"/>
        </w:rPr>
        <w:t>1. 1. 2000 pro profesní odpovědnost a odpovědnost za vadu výrobku</w:t>
      </w:r>
    </w:p>
    <w:p w14:paraId="70D20F84" w14:textId="77777777" w:rsidR="003D4782" w:rsidRPr="00815BE4" w:rsidRDefault="003D4782" w:rsidP="003D4782">
      <w:pPr>
        <w:suppressAutoHyphens/>
        <w:spacing w:line="320" w:lineRule="atLeast"/>
        <w:rPr>
          <w:rFonts w:eastAsia="Arial" w:cs="Times New Roman"/>
          <w:sz w:val="20"/>
        </w:rPr>
      </w:pPr>
      <w:r w:rsidRPr="00815BE4">
        <w:rPr>
          <w:rFonts w:eastAsia="Arial" w:cs="Times New Roman"/>
          <w:sz w:val="20"/>
        </w:rPr>
        <w:tab/>
      </w:r>
      <w:r w:rsidRPr="00815BE4">
        <w:rPr>
          <w:rFonts w:eastAsia="Arial" w:cs="Times New Roman"/>
          <w:sz w:val="20"/>
        </w:rPr>
        <w:tab/>
      </w:r>
      <w:r w:rsidRPr="00815BE4">
        <w:rPr>
          <w:rFonts w:eastAsia="Arial" w:cs="Times New Roman"/>
          <w:sz w:val="20"/>
        </w:rPr>
        <w:tab/>
        <w:t>3. 7. 2004 pro obecnou odpovědnost</w:t>
      </w:r>
    </w:p>
    <w:p w14:paraId="45AA36E2" w14:textId="77777777" w:rsidR="003D4782" w:rsidRPr="00815BE4" w:rsidRDefault="003D4782" w:rsidP="003D4782">
      <w:pPr>
        <w:spacing w:line="360" w:lineRule="auto"/>
        <w:jc w:val="both"/>
        <w:rPr>
          <w:rFonts w:ascii="Calibri" w:hAnsi="Calibri" w:cs="Calibri"/>
          <w:sz w:val="24"/>
          <w:szCs w:val="24"/>
        </w:rPr>
      </w:pPr>
    </w:p>
    <w:p w14:paraId="2E0866BA" w14:textId="77777777" w:rsidR="003D4782" w:rsidRPr="00815BE4" w:rsidRDefault="003D4782" w:rsidP="003D4782">
      <w:pPr>
        <w:pStyle w:val="TableText"/>
        <w:jc w:val="both"/>
        <w:rPr>
          <w:rFonts w:ascii="Calibri" w:hAnsi="Calibri" w:cs="Calibri"/>
          <w:sz w:val="24"/>
          <w:szCs w:val="24"/>
        </w:rPr>
      </w:pPr>
      <w:r w:rsidRPr="00815BE4">
        <w:rPr>
          <w:rFonts w:ascii="Calibri" w:hAnsi="Calibri" w:cs="Calibri"/>
          <w:sz w:val="24"/>
          <w:szCs w:val="24"/>
        </w:rPr>
        <w:t xml:space="preserve">Pojištění se vztahuje i na povinnost k náhradě újmy za předpokladu, že příčina vzniku újmy, tj. porušení právní povinnosti nebo jiná právní skutečnost, v jejímž důsledku újma vznikla, nastala nejdříve dne uvedeným výše. Toto pojištění se vztahuje pouze na škody, o kterých pojistník a pojištěný ke dni účinnosti této pojistné smlouvy nevěděl nebo nemohl vědět. Za pojistníka a pojištěného </w:t>
      </w:r>
      <w:proofErr w:type="gramStart"/>
      <w:r w:rsidRPr="00815BE4">
        <w:rPr>
          <w:rFonts w:ascii="Calibri" w:hAnsi="Calibri" w:cs="Calibri"/>
          <w:sz w:val="24"/>
          <w:szCs w:val="24"/>
        </w:rPr>
        <w:t>se  pro</w:t>
      </w:r>
      <w:proofErr w:type="gramEnd"/>
      <w:r w:rsidRPr="00815BE4">
        <w:rPr>
          <w:rFonts w:ascii="Calibri" w:hAnsi="Calibri" w:cs="Calibri"/>
          <w:sz w:val="24"/>
          <w:szCs w:val="24"/>
        </w:rPr>
        <w:t xml:space="preserve"> účely tohoto ujednání považuje statutární orgán společnosti. Tím se rozumí, že nebyl do doby účinnosti této pojistné smlouvy vůči pojištěnému prokazatelně vznesen poškozeným nárok na náhradu škody. </w:t>
      </w:r>
    </w:p>
    <w:p w14:paraId="1359B342" w14:textId="77777777" w:rsidR="003D4782" w:rsidRPr="00815BE4" w:rsidRDefault="003D4782" w:rsidP="003D4782">
      <w:pPr>
        <w:pStyle w:val="TableText"/>
        <w:jc w:val="both"/>
        <w:rPr>
          <w:rFonts w:ascii="Calibri" w:hAnsi="Calibri" w:cs="Calibri"/>
          <w:sz w:val="24"/>
          <w:szCs w:val="24"/>
        </w:rPr>
      </w:pPr>
      <w:r w:rsidRPr="00815BE4">
        <w:rPr>
          <w:rFonts w:ascii="Calibri" w:hAnsi="Calibri" w:cs="Calibri"/>
          <w:sz w:val="24"/>
          <w:szCs w:val="24"/>
        </w:rPr>
        <w:t>Výše limitů pro retroaktivní krytí je uvedena v</w:t>
      </w:r>
      <w:r>
        <w:rPr>
          <w:rFonts w:ascii="Calibri" w:hAnsi="Calibri" w:cs="Calibri"/>
          <w:sz w:val="24"/>
          <w:szCs w:val="24"/>
        </w:rPr>
        <w:t> </w:t>
      </w:r>
      <w:r w:rsidRPr="00815BE4">
        <w:rPr>
          <w:rFonts w:ascii="Calibri" w:hAnsi="Calibri" w:cs="Calibri"/>
          <w:sz w:val="24"/>
          <w:szCs w:val="24"/>
        </w:rPr>
        <w:t>následujíc</w:t>
      </w:r>
      <w:r>
        <w:rPr>
          <w:rFonts w:ascii="Calibri" w:hAnsi="Calibri" w:cs="Calibri"/>
          <w:sz w:val="24"/>
          <w:szCs w:val="24"/>
        </w:rPr>
        <w:t xml:space="preserve">ím </w:t>
      </w:r>
      <w:proofErr w:type="gramStart"/>
      <w:r>
        <w:rPr>
          <w:rFonts w:ascii="Calibri" w:hAnsi="Calibri" w:cs="Calibri"/>
          <w:sz w:val="24"/>
          <w:szCs w:val="24"/>
        </w:rPr>
        <w:t>odstavci</w:t>
      </w:r>
      <w:proofErr w:type="gramEnd"/>
      <w:r w:rsidRPr="00815BE4">
        <w:rPr>
          <w:rFonts w:ascii="Calibri" w:hAnsi="Calibri" w:cs="Calibri"/>
          <w:sz w:val="24"/>
          <w:szCs w:val="24"/>
        </w:rPr>
        <w:t xml:space="preserve"> přičemž platí, že retroaktivní krytí se vztahuje i na sublimity a to v rozsahu uvedeném </w:t>
      </w:r>
      <w:r>
        <w:rPr>
          <w:rFonts w:ascii="Calibri" w:hAnsi="Calibri" w:cs="Calibri"/>
          <w:sz w:val="24"/>
          <w:szCs w:val="24"/>
        </w:rPr>
        <w:t>v tabulce níže</w:t>
      </w:r>
      <w:r w:rsidRPr="00815BE4">
        <w:rPr>
          <w:rFonts w:ascii="Calibri" w:hAnsi="Calibri" w:cs="Calibri"/>
          <w:sz w:val="24"/>
          <w:szCs w:val="24"/>
        </w:rPr>
        <w:t xml:space="preserve">.  </w:t>
      </w:r>
    </w:p>
    <w:p w14:paraId="733E9B9A" w14:textId="77777777" w:rsidR="003D4782" w:rsidRDefault="003D4782" w:rsidP="003D4782">
      <w:pPr>
        <w:pStyle w:val="TableText"/>
        <w:jc w:val="both"/>
        <w:rPr>
          <w:rFonts w:ascii="Calibri" w:hAnsi="Calibri" w:cs="Calibri"/>
          <w:sz w:val="24"/>
          <w:szCs w:val="24"/>
        </w:rPr>
      </w:pPr>
    </w:p>
    <w:p w14:paraId="43E45EBA" w14:textId="77777777" w:rsidR="003D4782" w:rsidRPr="00815BE4" w:rsidRDefault="003D4782" w:rsidP="003D4782">
      <w:pPr>
        <w:pStyle w:val="TableText"/>
        <w:jc w:val="both"/>
        <w:rPr>
          <w:rFonts w:ascii="Calibri" w:hAnsi="Calibri" w:cs="Calibri"/>
          <w:sz w:val="24"/>
          <w:szCs w:val="24"/>
        </w:rPr>
      </w:pPr>
      <w:r w:rsidRPr="00CC564D">
        <w:rPr>
          <w:rFonts w:ascii="Calibri" w:hAnsi="Calibri" w:cs="Calibri"/>
          <w:sz w:val="24"/>
          <w:szCs w:val="24"/>
        </w:rPr>
        <w:t xml:space="preserve">Na úhradu pojistných událostí z pojištění obecné odpovědnosti, profesní odpovědnosti a odpovědnosti za výrobek (společně) vzniklých během jednoho roku, u nichž došlo k porušení právní </w:t>
      </w:r>
      <w:r w:rsidRPr="00F4073E">
        <w:rPr>
          <w:rFonts w:ascii="Calibri" w:hAnsi="Calibri" w:cs="Calibri"/>
          <w:sz w:val="24"/>
          <w:szCs w:val="24"/>
        </w:rPr>
        <w:t xml:space="preserve">povinnosti, v jejímž důsledku újma vznikla, došlo v době </w:t>
      </w:r>
      <w:r w:rsidRPr="00815BE4">
        <w:rPr>
          <w:rFonts w:ascii="Calibri" w:hAnsi="Calibri" w:cs="Calibri"/>
          <w:sz w:val="24"/>
          <w:szCs w:val="24"/>
        </w:rPr>
        <w:t xml:space="preserve">1.1.2000 </w:t>
      </w:r>
      <w:proofErr w:type="gramStart"/>
      <w:r w:rsidRPr="00815BE4">
        <w:rPr>
          <w:rFonts w:ascii="Calibri" w:hAnsi="Calibri" w:cs="Calibri"/>
          <w:sz w:val="24"/>
          <w:szCs w:val="24"/>
        </w:rPr>
        <w:t xml:space="preserve">– </w:t>
      </w:r>
      <w:r>
        <w:rPr>
          <w:rFonts w:ascii="Calibri" w:hAnsi="Calibri" w:cs="Calibri"/>
          <w:sz w:val="24"/>
          <w:szCs w:val="24"/>
        </w:rPr>
        <w:t xml:space="preserve"> </w:t>
      </w:r>
      <w:r w:rsidRPr="00815BE4">
        <w:rPr>
          <w:rFonts w:ascii="Calibri" w:hAnsi="Calibri" w:cs="Calibri"/>
          <w:sz w:val="24"/>
          <w:szCs w:val="24"/>
        </w:rPr>
        <w:t>15.11.2016</w:t>
      </w:r>
      <w:proofErr w:type="gramEnd"/>
      <w:r w:rsidRPr="00F4073E">
        <w:rPr>
          <w:rFonts w:ascii="Calibri" w:hAnsi="Calibri" w:cs="Calibri"/>
          <w:sz w:val="24"/>
          <w:szCs w:val="24"/>
        </w:rPr>
        <w:t xml:space="preserve"> poskytne pojistitel pojistné plnění do výše</w:t>
      </w:r>
      <w:r>
        <w:rPr>
          <w:rFonts w:ascii="Calibri" w:hAnsi="Calibri" w:cs="Calibri"/>
          <w:sz w:val="24"/>
          <w:szCs w:val="24"/>
        </w:rPr>
        <w:t xml:space="preserve"> a</w:t>
      </w:r>
      <w:r w:rsidRPr="00815BE4">
        <w:rPr>
          <w:rFonts w:ascii="Calibri" w:hAnsi="Calibri" w:cs="Calibri"/>
          <w:sz w:val="24"/>
          <w:szCs w:val="24"/>
        </w:rPr>
        <w:t>gregovan</w:t>
      </w:r>
      <w:r>
        <w:rPr>
          <w:rFonts w:ascii="Calibri" w:hAnsi="Calibri" w:cs="Calibri"/>
          <w:sz w:val="24"/>
          <w:szCs w:val="24"/>
        </w:rPr>
        <w:t>ého</w:t>
      </w:r>
      <w:r w:rsidRPr="00815BE4">
        <w:rPr>
          <w:rFonts w:ascii="Calibri" w:hAnsi="Calibri" w:cs="Calibri"/>
          <w:sz w:val="24"/>
          <w:szCs w:val="24"/>
        </w:rPr>
        <w:t xml:space="preserve"> roční limit</w:t>
      </w:r>
      <w:r>
        <w:rPr>
          <w:rFonts w:ascii="Calibri" w:hAnsi="Calibri" w:cs="Calibri"/>
          <w:sz w:val="24"/>
          <w:szCs w:val="24"/>
        </w:rPr>
        <w:t>u</w:t>
      </w:r>
      <w:r w:rsidRPr="00815BE4">
        <w:rPr>
          <w:rFonts w:ascii="Calibri" w:hAnsi="Calibri" w:cs="Calibri"/>
          <w:sz w:val="24"/>
          <w:szCs w:val="24"/>
        </w:rPr>
        <w:t xml:space="preserve"> </w:t>
      </w:r>
      <w:r>
        <w:rPr>
          <w:rFonts w:ascii="Calibri" w:hAnsi="Calibri" w:cs="Calibri"/>
          <w:sz w:val="24"/>
          <w:szCs w:val="24"/>
        </w:rPr>
        <w:t>2</w:t>
      </w:r>
      <w:r w:rsidRPr="00815BE4">
        <w:rPr>
          <w:rFonts w:ascii="Calibri" w:hAnsi="Calibri" w:cs="Calibri"/>
          <w:sz w:val="24"/>
          <w:szCs w:val="24"/>
        </w:rPr>
        <w:t>0.000.000</w:t>
      </w:r>
      <w:r>
        <w:rPr>
          <w:rFonts w:ascii="Calibri" w:hAnsi="Calibri" w:cs="Calibri"/>
          <w:sz w:val="24"/>
          <w:szCs w:val="24"/>
        </w:rPr>
        <w:t xml:space="preserve"> </w:t>
      </w:r>
      <w:r w:rsidRPr="00815BE4">
        <w:rPr>
          <w:rFonts w:ascii="Calibri" w:hAnsi="Calibri" w:cs="Calibri"/>
          <w:sz w:val="24"/>
          <w:szCs w:val="24"/>
        </w:rPr>
        <w:t xml:space="preserve"> </w:t>
      </w:r>
    </w:p>
    <w:p w14:paraId="2B12E21C" w14:textId="77777777" w:rsidR="003D4782" w:rsidRPr="00815BE4" w:rsidRDefault="003D4782" w:rsidP="003D4782">
      <w:pPr>
        <w:pStyle w:val="TableText"/>
        <w:rPr>
          <w:rFonts w:ascii="Calibri" w:hAnsi="Calibri" w:cs="Calibri"/>
          <w:sz w:val="24"/>
          <w:szCs w:val="24"/>
        </w:rPr>
      </w:pPr>
    </w:p>
    <w:p w14:paraId="0E790C2A" w14:textId="77777777" w:rsidR="003D4782" w:rsidRPr="00815BE4" w:rsidRDefault="003D4782" w:rsidP="003D4782">
      <w:pPr>
        <w:pStyle w:val="TableText"/>
        <w:jc w:val="both"/>
        <w:rPr>
          <w:rFonts w:ascii="Calibri" w:hAnsi="Calibri" w:cs="Calibri"/>
          <w:sz w:val="24"/>
          <w:szCs w:val="24"/>
        </w:rPr>
      </w:pPr>
      <w:r w:rsidRPr="00CC564D">
        <w:rPr>
          <w:rFonts w:ascii="Calibri" w:hAnsi="Calibri" w:cs="Calibri"/>
          <w:sz w:val="24"/>
          <w:szCs w:val="24"/>
        </w:rPr>
        <w:t xml:space="preserve">Na úhradu pojistných událostí z pojištění obecné odpovědnosti, profesní odpovědnosti a odpovědnosti za výrobek (společně) vzniklých během jednoho roku, u nichž došlo k porušení právní </w:t>
      </w:r>
      <w:r w:rsidRPr="00F4073E">
        <w:rPr>
          <w:rFonts w:ascii="Calibri" w:hAnsi="Calibri" w:cs="Calibri"/>
          <w:sz w:val="24"/>
          <w:szCs w:val="24"/>
        </w:rPr>
        <w:t xml:space="preserve">povinnosti, v jejímž důsledku újma vznikla, došlo v době </w:t>
      </w:r>
      <w:r w:rsidRPr="00815BE4">
        <w:rPr>
          <w:rFonts w:ascii="Calibri" w:hAnsi="Calibri" w:cs="Calibri"/>
          <w:sz w:val="24"/>
          <w:szCs w:val="24"/>
        </w:rPr>
        <w:t>16.11.2016 – 16.11.2020</w:t>
      </w:r>
      <w:r w:rsidRPr="00F4073E">
        <w:rPr>
          <w:rFonts w:ascii="Calibri" w:hAnsi="Calibri" w:cs="Calibri"/>
          <w:sz w:val="24"/>
          <w:szCs w:val="24"/>
        </w:rPr>
        <w:t xml:space="preserve"> poskytne pojistitel pojistné plnění do výše</w:t>
      </w:r>
      <w:r>
        <w:rPr>
          <w:rFonts w:ascii="Calibri" w:hAnsi="Calibri" w:cs="Calibri"/>
          <w:sz w:val="24"/>
          <w:szCs w:val="24"/>
        </w:rPr>
        <w:t xml:space="preserve"> a</w:t>
      </w:r>
      <w:r w:rsidRPr="00815BE4">
        <w:rPr>
          <w:rFonts w:ascii="Calibri" w:hAnsi="Calibri" w:cs="Calibri"/>
          <w:sz w:val="24"/>
          <w:szCs w:val="24"/>
        </w:rPr>
        <w:t>gregovan</w:t>
      </w:r>
      <w:r>
        <w:rPr>
          <w:rFonts w:ascii="Calibri" w:hAnsi="Calibri" w:cs="Calibri"/>
          <w:sz w:val="24"/>
          <w:szCs w:val="24"/>
        </w:rPr>
        <w:t>ého</w:t>
      </w:r>
      <w:r w:rsidRPr="00815BE4">
        <w:rPr>
          <w:rFonts w:ascii="Calibri" w:hAnsi="Calibri" w:cs="Calibri"/>
          <w:sz w:val="24"/>
          <w:szCs w:val="24"/>
        </w:rPr>
        <w:t xml:space="preserve"> roční limit činí</w:t>
      </w:r>
      <w:r>
        <w:rPr>
          <w:rFonts w:ascii="Calibri" w:hAnsi="Calibri" w:cs="Calibri"/>
          <w:sz w:val="24"/>
          <w:szCs w:val="24"/>
        </w:rPr>
        <w:t xml:space="preserve"> 5</w:t>
      </w:r>
      <w:r w:rsidRPr="00815BE4">
        <w:rPr>
          <w:rFonts w:ascii="Calibri" w:hAnsi="Calibri" w:cs="Calibri"/>
          <w:sz w:val="24"/>
          <w:szCs w:val="24"/>
        </w:rPr>
        <w:t>0.000.000</w:t>
      </w:r>
      <w:r>
        <w:rPr>
          <w:rFonts w:ascii="Calibri" w:hAnsi="Calibri" w:cs="Calibri"/>
          <w:sz w:val="24"/>
          <w:szCs w:val="24"/>
        </w:rPr>
        <w:t xml:space="preserve"> </w:t>
      </w:r>
      <w:r w:rsidRPr="00815BE4">
        <w:rPr>
          <w:rFonts w:ascii="Calibri" w:hAnsi="Calibri" w:cs="Calibri"/>
          <w:sz w:val="24"/>
          <w:szCs w:val="24"/>
        </w:rPr>
        <w:t xml:space="preserve"> </w:t>
      </w:r>
    </w:p>
    <w:p w14:paraId="54D45F61" w14:textId="77777777" w:rsidR="003D4782" w:rsidRDefault="003D4782" w:rsidP="00B22FE3">
      <w:pPr>
        <w:spacing w:line="320" w:lineRule="atLeast"/>
        <w:jc w:val="both"/>
        <w:rPr>
          <w:bCs/>
          <w:sz w:val="20"/>
          <w:szCs w:val="24"/>
          <w:lang w:eastAsia="cs-CZ"/>
        </w:rPr>
      </w:pPr>
    </w:p>
    <w:p w14:paraId="725BE7F3" w14:textId="77777777" w:rsidR="003D4782" w:rsidRDefault="003D4782" w:rsidP="00B22FE3">
      <w:pPr>
        <w:spacing w:line="320" w:lineRule="atLeast"/>
        <w:jc w:val="both"/>
        <w:rPr>
          <w:bCs/>
          <w:sz w:val="20"/>
          <w:szCs w:val="24"/>
          <w:lang w:eastAsia="cs-CZ"/>
        </w:rPr>
      </w:pPr>
    </w:p>
    <w:p w14:paraId="7AEEDC28" w14:textId="77777777" w:rsidR="00096F91" w:rsidRPr="00B22FE3" w:rsidRDefault="00096F91" w:rsidP="00B22FE3">
      <w:pPr>
        <w:spacing w:line="320" w:lineRule="atLeast"/>
        <w:jc w:val="both"/>
        <w:rPr>
          <w:bCs/>
          <w:sz w:val="20"/>
          <w:szCs w:val="24"/>
          <w:lang w:eastAsia="cs-CZ"/>
        </w:rPr>
      </w:pPr>
    </w:p>
    <w:p w14:paraId="4ADE3BB4" w14:textId="77777777" w:rsidR="00B22FE3" w:rsidRPr="00026783" w:rsidRDefault="00B22FE3" w:rsidP="00026783">
      <w:pPr>
        <w:ind w:firstLine="708"/>
        <w:rPr>
          <w:rFonts w:ascii="Calibri" w:hAnsi="Calibri" w:cs="Calibri"/>
          <w:sz w:val="24"/>
          <w:szCs w:val="24"/>
        </w:rPr>
      </w:pPr>
      <w:r>
        <w:rPr>
          <w:rFonts w:ascii="Calibri" w:hAnsi="Calibri" w:cs="Calibri"/>
          <w:sz w:val="24"/>
          <w:szCs w:val="24"/>
        </w:rPr>
        <w:tab/>
      </w:r>
    </w:p>
    <w:p w14:paraId="4AA54DEB" w14:textId="77777777" w:rsidR="000D2925" w:rsidRPr="00237049" w:rsidRDefault="000D2925" w:rsidP="00026783">
      <w:pPr>
        <w:rPr>
          <w:rFonts w:ascii="Calibri" w:hAnsi="Calibri"/>
          <w:szCs w:val="22"/>
        </w:rPr>
      </w:pPr>
    </w:p>
    <w:tbl>
      <w:tblPr>
        <w:tblW w:w="53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85" w:type="dxa"/>
          <w:left w:w="85" w:type="dxa"/>
          <w:bottom w:w="85" w:type="dxa"/>
          <w:right w:w="85" w:type="dxa"/>
        </w:tblCellMar>
        <w:tblLook w:val="0660" w:firstRow="1" w:lastRow="1" w:firstColumn="0" w:lastColumn="0" w:noHBand="1" w:noVBand="1"/>
      </w:tblPr>
      <w:tblGrid>
        <w:gridCol w:w="737"/>
        <w:gridCol w:w="4326"/>
        <w:gridCol w:w="2018"/>
        <w:gridCol w:w="2716"/>
      </w:tblGrid>
      <w:tr w:rsidR="005508F0" w14:paraId="46FC3153" w14:textId="77777777" w:rsidTr="001B638A">
        <w:trPr>
          <w:trHeight w:val="819"/>
        </w:trPr>
        <w:tc>
          <w:tcPr>
            <w:tcW w:w="376" w:type="pct"/>
            <w:tcBorders>
              <w:top w:val="single" w:sz="12" w:space="0" w:color="auto"/>
              <w:left w:val="single" w:sz="12" w:space="0" w:color="auto"/>
              <w:bottom w:val="single" w:sz="6" w:space="0" w:color="auto"/>
              <w:right w:val="single" w:sz="6" w:space="0" w:color="auto"/>
            </w:tcBorders>
            <w:shd w:val="clear" w:color="auto" w:fill="0070C0"/>
          </w:tcPr>
          <w:p w14:paraId="42AB0EEE" w14:textId="77777777" w:rsidR="005508F0" w:rsidRDefault="005508F0">
            <w:pPr>
              <w:pStyle w:val="TextTabulkyRespect"/>
              <w:suppressAutoHyphens/>
              <w:spacing w:line="320" w:lineRule="atLeast"/>
              <w:jc w:val="left"/>
              <w:rPr>
                <w:b/>
                <w:color w:val="FFFFFF"/>
                <w:szCs w:val="20"/>
              </w:rPr>
            </w:pPr>
          </w:p>
        </w:tc>
        <w:tc>
          <w:tcPr>
            <w:tcW w:w="2208" w:type="pct"/>
            <w:tcBorders>
              <w:top w:val="single" w:sz="12" w:space="0" w:color="auto"/>
              <w:left w:val="single" w:sz="12" w:space="0" w:color="auto"/>
              <w:bottom w:val="single" w:sz="6" w:space="0" w:color="auto"/>
              <w:right w:val="single" w:sz="6" w:space="0" w:color="auto"/>
            </w:tcBorders>
            <w:shd w:val="clear" w:color="auto" w:fill="0070C0"/>
            <w:vAlign w:val="center"/>
            <w:hideMark/>
          </w:tcPr>
          <w:p w14:paraId="3768A324" w14:textId="77777777" w:rsidR="005508F0" w:rsidRDefault="005508F0">
            <w:pPr>
              <w:pStyle w:val="TextTabulkyRespect"/>
              <w:suppressAutoHyphens/>
              <w:spacing w:line="320" w:lineRule="atLeast"/>
              <w:jc w:val="left"/>
              <w:rPr>
                <w:b/>
                <w:color w:val="FFFFFF"/>
                <w:szCs w:val="20"/>
              </w:rPr>
            </w:pPr>
            <w:r>
              <w:rPr>
                <w:b/>
                <w:color w:val="FFFFFF"/>
                <w:szCs w:val="20"/>
              </w:rPr>
              <w:t>Rozsah pojištění</w:t>
            </w:r>
          </w:p>
        </w:tc>
        <w:tc>
          <w:tcPr>
            <w:tcW w:w="1030" w:type="pct"/>
            <w:tcBorders>
              <w:top w:val="single" w:sz="12" w:space="0" w:color="auto"/>
              <w:left w:val="single" w:sz="6" w:space="0" w:color="auto"/>
              <w:bottom w:val="single" w:sz="6" w:space="0" w:color="auto"/>
              <w:right w:val="single" w:sz="6" w:space="0" w:color="auto"/>
            </w:tcBorders>
            <w:shd w:val="clear" w:color="auto" w:fill="0070C0"/>
            <w:vAlign w:val="center"/>
            <w:hideMark/>
          </w:tcPr>
          <w:p w14:paraId="44477E62" w14:textId="77777777" w:rsidR="005508F0" w:rsidRDefault="005508F0">
            <w:pPr>
              <w:pStyle w:val="TextTabulkyRespect"/>
              <w:suppressAutoHyphens/>
              <w:spacing w:line="320" w:lineRule="atLeast"/>
              <w:jc w:val="center"/>
              <w:rPr>
                <w:b/>
                <w:color w:val="FFFFFF"/>
                <w:szCs w:val="20"/>
              </w:rPr>
            </w:pPr>
            <w:r>
              <w:rPr>
                <w:b/>
                <w:color w:val="FFFFFF"/>
                <w:szCs w:val="20"/>
              </w:rPr>
              <w:t xml:space="preserve">Limity pojistného </w:t>
            </w:r>
          </w:p>
          <w:p w14:paraId="05C85B6F" w14:textId="77777777" w:rsidR="005508F0" w:rsidRDefault="005508F0">
            <w:pPr>
              <w:pStyle w:val="TextTabulkyRespect"/>
              <w:suppressAutoHyphens/>
              <w:spacing w:line="320" w:lineRule="atLeast"/>
              <w:jc w:val="center"/>
              <w:rPr>
                <w:b/>
                <w:color w:val="FFFFFF"/>
                <w:szCs w:val="20"/>
              </w:rPr>
            </w:pPr>
            <w:r>
              <w:rPr>
                <w:b/>
                <w:color w:val="FFFFFF"/>
                <w:szCs w:val="20"/>
              </w:rPr>
              <w:t xml:space="preserve">plnění </w:t>
            </w:r>
            <w:r w:rsidR="001B638A">
              <w:rPr>
                <w:b/>
                <w:color w:val="FFFFFF"/>
                <w:szCs w:val="20"/>
              </w:rPr>
              <w:t xml:space="preserve">pro jednu a všechny události za pojistný rok </w:t>
            </w:r>
            <w:r>
              <w:rPr>
                <w:b/>
                <w:color w:val="FFFFFF"/>
                <w:szCs w:val="20"/>
              </w:rPr>
              <w:t>(v Kč)</w:t>
            </w:r>
          </w:p>
        </w:tc>
        <w:tc>
          <w:tcPr>
            <w:tcW w:w="1386" w:type="pct"/>
            <w:tcBorders>
              <w:top w:val="single" w:sz="12" w:space="0" w:color="auto"/>
              <w:left w:val="single" w:sz="6" w:space="0" w:color="auto"/>
              <w:bottom w:val="single" w:sz="6" w:space="0" w:color="auto"/>
              <w:right w:val="single" w:sz="12" w:space="0" w:color="auto"/>
            </w:tcBorders>
            <w:shd w:val="clear" w:color="auto" w:fill="0070C0"/>
            <w:vAlign w:val="center"/>
            <w:hideMark/>
          </w:tcPr>
          <w:p w14:paraId="72685F07" w14:textId="77777777" w:rsidR="005508F0" w:rsidRDefault="005508F0">
            <w:pPr>
              <w:pStyle w:val="TextTabulkyRespect"/>
              <w:suppressAutoHyphens/>
              <w:spacing w:line="320" w:lineRule="atLeast"/>
              <w:jc w:val="center"/>
              <w:rPr>
                <w:b/>
                <w:color w:val="FFFFFF"/>
                <w:szCs w:val="20"/>
              </w:rPr>
            </w:pPr>
            <w:r>
              <w:rPr>
                <w:b/>
                <w:color w:val="FFFFFF"/>
                <w:szCs w:val="20"/>
              </w:rPr>
              <w:t>Spoluúčast</w:t>
            </w:r>
          </w:p>
          <w:p w14:paraId="2912881B" w14:textId="77777777" w:rsidR="005508F0" w:rsidRDefault="005508F0">
            <w:pPr>
              <w:pStyle w:val="TextTabulkyRespect"/>
              <w:suppressAutoHyphens/>
              <w:spacing w:line="320" w:lineRule="atLeast"/>
              <w:jc w:val="center"/>
              <w:rPr>
                <w:b/>
                <w:color w:val="FFFFFF"/>
                <w:szCs w:val="20"/>
              </w:rPr>
            </w:pPr>
            <w:r>
              <w:rPr>
                <w:b/>
                <w:color w:val="FFFFFF"/>
                <w:szCs w:val="20"/>
              </w:rPr>
              <w:t>(v Kč)</w:t>
            </w:r>
          </w:p>
        </w:tc>
      </w:tr>
      <w:tr w:rsidR="005508F0" w:rsidRPr="0032047B" w14:paraId="3BE8FA2D" w14:textId="77777777" w:rsidTr="001B638A">
        <w:trPr>
          <w:trHeight w:val="1194"/>
        </w:trPr>
        <w:tc>
          <w:tcPr>
            <w:tcW w:w="376" w:type="pct"/>
            <w:tcBorders>
              <w:top w:val="single" w:sz="6" w:space="0" w:color="auto"/>
              <w:left w:val="single" w:sz="12" w:space="0" w:color="auto"/>
              <w:right w:val="single" w:sz="6" w:space="0" w:color="auto"/>
            </w:tcBorders>
          </w:tcPr>
          <w:p w14:paraId="53FD1BDC" w14:textId="77777777" w:rsidR="005508F0" w:rsidRDefault="00BF0E62">
            <w:pPr>
              <w:pStyle w:val="TextTabulkyRespect"/>
              <w:suppressAutoHyphens/>
              <w:spacing w:line="320" w:lineRule="atLeast"/>
              <w:jc w:val="left"/>
              <w:rPr>
                <w:b/>
                <w:szCs w:val="20"/>
              </w:rPr>
            </w:pPr>
            <w:r>
              <w:rPr>
                <w:b/>
                <w:szCs w:val="20"/>
              </w:rPr>
              <w:t>1</w:t>
            </w:r>
          </w:p>
        </w:tc>
        <w:tc>
          <w:tcPr>
            <w:tcW w:w="2208" w:type="pct"/>
            <w:vMerge w:val="restart"/>
            <w:tcBorders>
              <w:top w:val="single" w:sz="6" w:space="0" w:color="auto"/>
              <w:left w:val="single" w:sz="12" w:space="0" w:color="auto"/>
              <w:right w:val="single" w:sz="6" w:space="0" w:color="auto"/>
            </w:tcBorders>
            <w:vAlign w:val="center"/>
          </w:tcPr>
          <w:p w14:paraId="3022B78A" w14:textId="77777777" w:rsidR="005508F0" w:rsidRDefault="005508F0">
            <w:pPr>
              <w:pStyle w:val="TextTabulkyRespect"/>
              <w:suppressAutoHyphens/>
              <w:spacing w:line="320" w:lineRule="atLeast"/>
              <w:jc w:val="left"/>
              <w:rPr>
                <w:szCs w:val="20"/>
              </w:rPr>
            </w:pPr>
            <w:r>
              <w:rPr>
                <w:b/>
                <w:szCs w:val="20"/>
              </w:rPr>
              <w:t>Obecná odpovědnost</w:t>
            </w:r>
            <w:r>
              <w:rPr>
                <w:szCs w:val="20"/>
              </w:rPr>
              <w:t xml:space="preserve"> </w:t>
            </w:r>
          </w:p>
          <w:p w14:paraId="3EE80332" w14:textId="77777777" w:rsidR="00B22FE3" w:rsidRDefault="00B22FE3">
            <w:pPr>
              <w:pStyle w:val="TextTabulkyRespect"/>
              <w:suppressAutoHyphens/>
              <w:spacing w:line="320" w:lineRule="atLeast"/>
              <w:jc w:val="left"/>
              <w:rPr>
                <w:rFonts w:cs="Arial"/>
                <w:b/>
                <w:szCs w:val="20"/>
              </w:rPr>
            </w:pPr>
          </w:p>
          <w:p w14:paraId="3EECCCF5" w14:textId="77777777" w:rsidR="00096F91" w:rsidRDefault="00096F91">
            <w:pPr>
              <w:pStyle w:val="TextTabulkyRespect"/>
              <w:suppressAutoHyphens/>
              <w:spacing w:line="320" w:lineRule="atLeast"/>
              <w:jc w:val="left"/>
              <w:rPr>
                <w:rFonts w:cs="Arial"/>
                <w:b/>
                <w:szCs w:val="20"/>
              </w:rPr>
            </w:pPr>
          </w:p>
          <w:p w14:paraId="7C27C312" w14:textId="77777777" w:rsidR="005508F0" w:rsidRDefault="005508F0">
            <w:pPr>
              <w:pStyle w:val="TextTabulkyRespect"/>
              <w:suppressAutoHyphens/>
              <w:spacing w:line="320" w:lineRule="atLeast"/>
              <w:jc w:val="left"/>
              <w:rPr>
                <w:rFonts w:cs="Arial"/>
                <w:b/>
                <w:szCs w:val="20"/>
              </w:rPr>
            </w:pPr>
            <w:r>
              <w:rPr>
                <w:rFonts w:cs="Arial"/>
                <w:b/>
                <w:szCs w:val="20"/>
              </w:rPr>
              <w:t>Odpovědnost za výrobek</w:t>
            </w:r>
          </w:p>
          <w:p w14:paraId="1C737118" w14:textId="77777777" w:rsidR="005508F0" w:rsidRDefault="005508F0">
            <w:pPr>
              <w:pStyle w:val="TextTabulkyRespect"/>
              <w:suppressAutoHyphens/>
              <w:spacing w:line="320" w:lineRule="atLeast"/>
              <w:jc w:val="left"/>
              <w:rPr>
                <w:rFonts w:cs="Arial"/>
                <w:szCs w:val="20"/>
              </w:rPr>
            </w:pPr>
          </w:p>
          <w:p w14:paraId="41644661" w14:textId="77777777" w:rsidR="00096F91" w:rsidRPr="00096F91" w:rsidRDefault="00096F91">
            <w:pPr>
              <w:pStyle w:val="TextTabulkyRespect"/>
              <w:suppressAutoHyphens/>
              <w:spacing w:line="320" w:lineRule="atLeast"/>
              <w:jc w:val="left"/>
              <w:rPr>
                <w:rFonts w:cs="Arial"/>
                <w:szCs w:val="20"/>
              </w:rPr>
            </w:pPr>
          </w:p>
          <w:p w14:paraId="13C65A65" w14:textId="77777777" w:rsidR="005508F0" w:rsidRDefault="005508F0" w:rsidP="00B22FE3">
            <w:pPr>
              <w:pStyle w:val="TextTabulkyRespect"/>
              <w:suppressAutoHyphens/>
              <w:spacing w:line="320" w:lineRule="atLeast"/>
              <w:jc w:val="left"/>
              <w:rPr>
                <w:szCs w:val="20"/>
              </w:rPr>
            </w:pPr>
            <w:r w:rsidRPr="00096F91">
              <w:rPr>
                <w:rFonts w:cs="Arial"/>
                <w:b/>
                <w:szCs w:val="20"/>
              </w:rPr>
              <w:t>Profesní odpovědnost</w:t>
            </w:r>
            <w:r>
              <w:t xml:space="preserve"> </w:t>
            </w:r>
          </w:p>
        </w:tc>
        <w:tc>
          <w:tcPr>
            <w:tcW w:w="1030" w:type="pct"/>
            <w:tcBorders>
              <w:top w:val="single" w:sz="6" w:space="0" w:color="auto"/>
              <w:left w:val="single" w:sz="6" w:space="0" w:color="auto"/>
              <w:bottom w:val="single" w:sz="6" w:space="0" w:color="auto"/>
              <w:right w:val="single" w:sz="6" w:space="0" w:color="auto"/>
            </w:tcBorders>
            <w:vAlign w:val="center"/>
          </w:tcPr>
          <w:p w14:paraId="3B86A2C4" w14:textId="77777777" w:rsidR="005508F0" w:rsidRDefault="005508F0" w:rsidP="00DB7E0B">
            <w:pPr>
              <w:pStyle w:val="TextTabulkyRespect"/>
              <w:suppressAutoHyphens/>
              <w:spacing w:line="320" w:lineRule="atLeast"/>
              <w:jc w:val="right"/>
              <w:rPr>
                <w:szCs w:val="20"/>
              </w:rPr>
            </w:pPr>
            <w:r>
              <w:rPr>
                <w:szCs w:val="20"/>
              </w:rPr>
              <w:t>50.000.000</w:t>
            </w:r>
          </w:p>
        </w:tc>
        <w:tc>
          <w:tcPr>
            <w:tcW w:w="1386" w:type="pct"/>
            <w:vMerge w:val="restart"/>
            <w:tcBorders>
              <w:top w:val="single" w:sz="6" w:space="0" w:color="auto"/>
              <w:left w:val="single" w:sz="6" w:space="0" w:color="auto"/>
              <w:right w:val="single" w:sz="12" w:space="0" w:color="auto"/>
            </w:tcBorders>
            <w:vAlign w:val="center"/>
          </w:tcPr>
          <w:p w14:paraId="371F1D62" w14:textId="77777777" w:rsidR="001B638A" w:rsidRDefault="001B638A" w:rsidP="00CC564D">
            <w:pPr>
              <w:pStyle w:val="TextTabulkyRespect"/>
              <w:suppressAutoHyphens/>
              <w:spacing w:line="320" w:lineRule="atLeast"/>
              <w:jc w:val="right"/>
              <w:rPr>
                <w:szCs w:val="20"/>
              </w:rPr>
            </w:pPr>
          </w:p>
          <w:p w14:paraId="3FB70CD2" w14:textId="77777777" w:rsidR="001B638A" w:rsidRDefault="001B638A" w:rsidP="00CC564D">
            <w:pPr>
              <w:pStyle w:val="TextTabulkyRespect"/>
              <w:suppressAutoHyphens/>
              <w:spacing w:line="320" w:lineRule="atLeast"/>
              <w:jc w:val="right"/>
              <w:rPr>
                <w:szCs w:val="20"/>
              </w:rPr>
            </w:pPr>
          </w:p>
          <w:p w14:paraId="6C73B46B" w14:textId="437FD0A8" w:rsidR="001B638A" w:rsidRDefault="005508F0" w:rsidP="00CC564D">
            <w:pPr>
              <w:pStyle w:val="TextTabulkyRespect"/>
              <w:suppressAutoHyphens/>
              <w:spacing w:line="320" w:lineRule="atLeast"/>
              <w:jc w:val="right"/>
              <w:rPr>
                <w:szCs w:val="20"/>
              </w:rPr>
            </w:pPr>
            <w:r w:rsidRPr="001B638A">
              <w:rPr>
                <w:szCs w:val="20"/>
              </w:rPr>
              <w:t>250.000</w:t>
            </w:r>
          </w:p>
          <w:p w14:paraId="2DDD6ECC" w14:textId="77777777" w:rsidR="001B638A" w:rsidRDefault="001B638A" w:rsidP="00CC564D">
            <w:pPr>
              <w:pStyle w:val="TextTabulkyRespect"/>
              <w:suppressAutoHyphens/>
              <w:spacing w:line="320" w:lineRule="atLeast"/>
              <w:jc w:val="right"/>
              <w:rPr>
                <w:szCs w:val="20"/>
              </w:rPr>
            </w:pPr>
          </w:p>
          <w:p w14:paraId="22F060C0" w14:textId="4A4E9390" w:rsidR="005508F0" w:rsidRDefault="001B638A" w:rsidP="00CC564D">
            <w:pPr>
              <w:pStyle w:val="TextTabulkyRespect"/>
              <w:suppressAutoHyphens/>
              <w:spacing w:line="320" w:lineRule="atLeast"/>
              <w:jc w:val="right"/>
              <w:rPr>
                <w:szCs w:val="20"/>
              </w:rPr>
            </w:pPr>
            <w:r>
              <w:rPr>
                <w:szCs w:val="20"/>
              </w:rPr>
              <w:t xml:space="preserve">Pro obor gynekologie-porodnictví a neonatologie </w:t>
            </w:r>
            <w:proofErr w:type="gramStart"/>
            <w:r>
              <w:rPr>
                <w:szCs w:val="20"/>
              </w:rPr>
              <w:t>10%</w:t>
            </w:r>
            <w:proofErr w:type="gramEnd"/>
            <w:r>
              <w:rPr>
                <w:szCs w:val="20"/>
              </w:rPr>
              <w:t xml:space="preserve"> min. 500.000</w:t>
            </w:r>
          </w:p>
          <w:p w14:paraId="7ABC7B04" w14:textId="77777777" w:rsidR="001B638A" w:rsidRDefault="001B638A" w:rsidP="00CC564D">
            <w:pPr>
              <w:pStyle w:val="TextTabulkyRespect"/>
              <w:suppressAutoHyphens/>
              <w:spacing w:line="320" w:lineRule="atLeast"/>
              <w:jc w:val="right"/>
              <w:rPr>
                <w:szCs w:val="20"/>
              </w:rPr>
            </w:pPr>
          </w:p>
          <w:p w14:paraId="2BC83D6B" w14:textId="1974929A" w:rsidR="00B22FE3" w:rsidRPr="0032047B" w:rsidRDefault="00B22FE3" w:rsidP="00CC564D">
            <w:pPr>
              <w:pStyle w:val="TextTabulkyRespect"/>
              <w:suppressAutoHyphens/>
              <w:spacing w:line="320" w:lineRule="atLeast"/>
              <w:jc w:val="right"/>
              <w:rPr>
                <w:szCs w:val="20"/>
              </w:rPr>
            </w:pPr>
          </w:p>
        </w:tc>
      </w:tr>
      <w:tr w:rsidR="005508F0" w:rsidRPr="0032047B" w14:paraId="65399626" w14:textId="77777777" w:rsidTr="001B638A">
        <w:trPr>
          <w:trHeight w:val="661"/>
        </w:trPr>
        <w:tc>
          <w:tcPr>
            <w:tcW w:w="376" w:type="pct"/>
            <w:tcBorders>
              <w:left w:val="single" w:sz="12" w:space="0" w:color="auto"/>
              <w:right w:val="single" w:sz="6" w:space="0" w:color="auto"/>
            </w:tcBorders>
          </w:tcPr>
          <w:p w14:paraId="73D2750C" w14:textId="77777777" w:rsidR="005508F0" w:rsidRDefault="00BF0E62">
            <w:pPr>
              <w:pStyle w:val="TextTabulkyRespect"/>
              <w:suppressAutoHyphens/>
              <w:spacing w:line="320" w:lineRule="atLeast"/>
              <w:jc w:val="left"/>
              <w:rPr>
                <w:b/>
                <w:szCs w:val="20"/>
              </w:rPr>
            </w:pPr>
            <w:r>
              <w:rPr>
                <w:b/>
                <w:szCs w:val="20"/>
              </w:rPr>
              <w:t>2</w:t>
            </w:r>
          </w:p>
        </w:tc>
        <w:tc>
          <w:tcPr>
            <w:tcW w:w="2208" w:type="pct"/>
            <w:vMerge/>
            <w:tcBorders>
              <w:left w:val="single" w:sz="12" w:space="0" w:color="auto"/>
              <w:right w:val="single" w:sz="6" w:space="0" w:color="auto"/>
            </w:tcBorders>
            <w:vAlign w:val="center"/>
          </w:tcPr>
          <w:p w14:paraId="6BE1525B" w14:textId="77777777" w:rsidR="005508F0" w:rsidRDefault="005508F0">
            <w:pPr>
              <w:pStyle w:val="TextTabulkyRespect"/>
              <w:suppressAutoHyphens/>
              <w:spacing w:line="320" w:lineRule="atLeast"/>
              <w:jc w:val="left"/>
              <w:rPr>
                <w:b/>
                <w:szCs w:val="20"/>
              </w:rPr>
            </w:pPr>
          </w:p>
        </w:tc>
        <w:tc>
          <w:tcPr>
            <w:tcW w:w="1030" w:type="pct"/>
            <w:tcBorders>
              <w:top w:val="single" w:sz="6" w:space="0" w:color="auto"/>
              <w:left w:val="single" w:sz="6" w:space="0" w:color="auto"/>
              <w:bottom w:val="single" w:sz="6" w:space="0" w:color="auto"/>
              <w:right w:val="single" w:sz="6" w:space="0" w:color="auto"/>
            </w:tcBorders>
            <w:vAlign w:val="center"/>
          </w:tcPr>
          <w:p w14:paraId="3E2156C8" w14:textId="77777777" w:rsidR="005508F0" w:rsidRDefault="005508F0" w:rsidP="00DB7E0B">
            <w:pPr>
              <w:pStyle w:val="TextTabulkyRespect"/>
              <w:suppressAutoHyphens/>
              <w:spacing w:line="320" w:lineRule="atLeast"/>
              <w:jc w:val="right"/>
              <w:rPr>
                <w:szCs w:val="20"/>
              </w:rPr>
            </w:pPr>
            <w:r>
              <w:rPr>
                <w:szCs w:val="20"/>
              </w:rPr>
              <w:t>50.000.000</w:t>
            </w:r>
          </w:p>
        </w:tc>
        <w:tc>
          <w:tcPr>
            <w:tcW w:w="1386" w:type="pct"/>
            <w:vMerge/>
            <w:tcBorders>
              <w:left w:val="single" w:sz="6" w:space="0" w:color="auto"/>
              <w:right w:val="single" w:sz="12" w:space="0" w:color="auto"/>
            </w:tcBorders>
            <w:vAlign w:val="center"/>
          </w:tcPr>
          <w:p w14:paraId="200B1BE3" w14:textId="77777777" w:rsidR="005508F0" w:rsidRPr="0032047B" w:rsidRDefault="005508F0">
            <w:pPr>
              <w:pStyle w:val="TextTabulkyRespect"/>
              <w:suppressAutoHyphens/>
              <w:spacing w:line="320" w:lineRule="atLeast"/>
              <w:jc w:val="right"/>
              <w:rPr>
                <w:szCs w:val="20"/>
              </w:rPr>
            </w:pPr>
          </w:p>
        </w:tc>
      </w:tr>
      <w:tr w:rsidR="005508F0" w:rsidRPr="0032047B" w14:paraId="7F3ABD90" w14:textId="77777777" w:rsidTr="001B638A">
        <w:trPr>
          <w:trHeight w:val="1515"/>
        </w:trPr>
        <w:tc>
          <w:tcPr>
            <w:tcW w:w="376" w:type="pct"/>
            <w:tcBorders>
              <w:left w:val="single" w:sz="12" w:space="0" w:color="auto"/>
              <w:bottom w:val="single" w:sz="6" w:space="0" w:color="auto"/>
              <w:right w:val="single" w:sz="6" w:space="0" w:color="auto"/>
            </w:tcBorders>
          </w:tcPr>
          <w:p w14:paraId="6D4222F8" w14:textId="77777777" w:rsidR="005508F0" w:rsidRDefault="00BF0E62">
            <w:pPr>
              <w:pStyle w:val="TextTabulkyRespect"/>
              <w:suppressAutoHyphens/>
              <w:spacing w:line="320" w:lineRule="atLeast"/>
              <w:jc w:val="left"/>
              <w:rPr>
                <w:b/>
                <w:szCs w:val="20"/>
              </w:rPr>
            </w:pPr>
            <w:r>
              <w:rPr>
                <w:b/>
                <w:szCs w:val="20"/>
              </w:rPr>
              <w:t>3</w:t>
            </w:r>
          </w:p>
        </w:tc>
        <w:tc>
          <w:tcPr>
            <w:tcW w:w="2208" w:type="pct"/>
            <w:vMerge/>
            <w:tcBorders>
              <w:left w:val="single" w:sz="12" w:space="0" w:color="auto"/>
              <w:bottom w:val="single" w:sz="6" w:space="0" w:color="auto"/>
              <w:right w:val="single" w:sz="6" w:space="0" w:color="auto"/>
            </w:tcBorders>
            <w:vAlign w:val="center"/>
          </w:tcPr>
          <w:p w14:paraId="1D4464E7" w14:textId="77777777" w:rsidR="005508F0" w:rsidRDefault="005508F0">
            <w:pPr>
              <w:pStyle w:val="TextTabulkyRespect"/>
              <w:suppressAutoHyphens/>
              <w:spacing w:line="320" w:lineRule="atLeast"/>
              <w:jc w:val="left"/>
              <w:rPr>
                <w:b/>
                <w:szCs w:val="20"/>
              </w:rPr>
            </w:pPr>
          </w:p>
        </w:tc>
        <w:tc>
          <w:tcPr>
            <w:tcW w:w="1030" w:type="pct"/>
            <w:tcBorders>
              <w:top w:val="single" w:sz="6" w:space="0" w:color="auto"/>
              <w:left w:val="single" w:sz="6" w:space="0" w:color="auto"/>
              <w:bottom w:val="single" w:sz="6" w:space="0" w:color="auto"/>
              <w:right w:val="single" w:sz="6" w:space="0" w:color="auto"/>
            </w:tcBorders>
            <w:vAlign w:val="center"/>
          </w:tcPr>
          <w:p w14:paraId="63DFBF78" w14:textId="77777777" w:rsidR="005508F0" w:rsidRDefault="00B22FE3" w:rsidP="00DB7E0B">
            <w:pPr>
              <w:pStyle w:val="TextTabulkyRespect"/>
              <w:suppressAutoHyphens/>
              <w:spacing w:line="320" w:lineRule="atLeast"/>
              <w:jc w:val="right"/>
              <w:rPr>
                <w:szCs w:val="20"/>
              </w:rPr>
            </w:pPr>
            <w:r>
              <w:rPr>
                <w:szCs w:val="20"/>
              </w:rPr>
              <w:t>50.000.000</w:t>
            </w:r>
          </w:p>
          <w:p w14:paraId="249BEC21" w14:textId="653F800E" w:rsidR="00B22FE3" w:rsidRDefault="00B22FE3" w:rsidP="00DB7E0B">
            <w:pPr>
              <w:pStyle w:val="TextTabulkyRespect"/>
              <w:suppressAutoHyphens/>
              <w:spacing w:line="320" w:lineRule="atLeast"/>
              <w:jc w:val="right"/>
              <w:rPr>
                <w:szCs w:val="20"/>
              </w:rPr>
            </w:pPr>
          </w:p>
        </w:tc>
        <w:tc>
          <w:tcPr>
            <w:tcW w:w="1386" w:type="pct"/>
            <w:vMerge/>
            <w:tcBorders>
              <w:left w:val="single" w:sz="6" w:space="0" w:color="auto"/>
              <w:bottom w:val="single" w:sz="6" w:space="0" w:color="auto"/>
              <w:right w:val="single" w:sz="12" w:space="0" w:color="auto"/>
            </w:tcBorders>
            <w:vAlign w:val="center"/>
          </w:tcPr>
          <w:p w14:paraId="0CBE6524" w14:textId="77777777" w:rsidR="005508F0" w:rsidRPr="0032047B" w:rsidRDefault="005508F0">
            <w:pPr>
              <w:pStyle w:val="TextTabulkyRespect"/>
              <w:suppressAutoHyphens/>
              <w:spacing w:line="320" w:lineRule="atLeast"/>
              <w:jc w:val="right"/>
              <w:rPr>
                <w:szCs w:val="20"/>
              </w:rPr>
            </w:pPr>
          </w:p>
        </w:tc>
      </w:tr>
      <w:tr w:rsidR="005508F0" w14:paraId="7827BAAB" w14:textId="77777777" w:rsidTr="005508F0">
        <w:trPr>
          <w:trHeight w:val="333"/>
        </w:trPr>
        <w:tc>
          <w:tcPr>
            <w:tcW w:w="376" w:type="pct"/>
            <w:tcBorders>
              <w:top w:val="single" w:sz="6" w:space="0" w:color="auto"/>
              <w:left w:val="single" w:sz="12" w:space="0" w:color="auto"/>
              <w:bottom w:val="single" w:sz="6" w:space="0" w:color="auto"/>
              <w:right w:val="single" w:sz="12" w:space="0" w:color="auto"/>
            </w:tcBorders>
            <w:shd w:val="clear" w:color="auto" w:fill="D9D9D9"/>
          </w:tcPr>
          <w:p w14:paraId="0B8732F4" w14:textId="77777777" w:rsidR="005508F0" w:rsidRDefault="005508F0">
            <w:pPr>
              <w:pStyle w:val="TextTabulkyRespect"/>
              <w:suppressAutoHyphens/>
              <w:spacing w:line="320" w:lineRule="atLeast"/>
              <w:jc w:val="left"/>
              <w:rPr>
                <w:b/>
                <w:szCs w:val="20"/>
              </w:rPr>
            </w:pPr>
          </w:p>
        </w:tc>
        <w:tc>
          <w:tcPr>
            <w:tcW w:w="4624" w:type="pct"/>
            <w:gridSpan w:val="3"/>
            <w:tcBorders>
              <w:top w:val="single" w:sz="6" w:space="0" w:color="auto"/>
              <w:left w:val="single" w:sz="12" w:space="0" w:color="auto"/>
              <w:bottom w:val="single" w:sz="6" w:space="0" w:color="auto"/>
              <w:right w:val="single" w:sz="12" w:space="0" w:color="auto"/>
            </w:tcBorders>
            <w:shd w:val="clear" w:color="auto" w:fill="D9D9D9"/>
            <w:vAlign w:val="center"/>
            <w:hideMark/>
          </w:tcPr>
          <w:p w14:paraId="5CBA7502" w14:textId="77777777" w:rsidR="005508F0" w:rsidRDefault="005508F0">
            <w:pPr>
              <w:pStyle w:val="TextTabulkyRespect"/>
              <w:suppressAutoHyphens/>
              <w:spacing w:line="320" w:lineRule="atLeast"/>
              <w:jc w:val="left"/>
              <w:rPr>
                <w:b/>
                <w:szCs w:val="20"/>
              </w:rPr>
            </w:pPr>
            <w:r>
              <w:rPr>
                <w:b/>
                <w:szCs w:val="20"/>
              </w:rPr>
              <w:t>Sublimity pojistného plnění</w:t>
            </w:r>
            <w:r w:rsidR="00B22FE3">
              <w:rPr>
                <w:b/>
                <w:szCs w:val="20"/>
              </w:rPr>
              <w:t xml:space="preserve"> platí, tam kde je to relevantní, pro pojištění obecné odpovědnosti, odpovědnosti za výrobek i profesní odpovědnost </w:t>
            </w:r>
          </w:p>
        </w:tc>
      </w:tr>
      <w:tr w:rsidR="005508F0" w14:paraId="5A797429"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2731365F" w14:textId="77777777" w:rsidR="005508F0" w:rsidRPr="00434369" w:rsidRDefault="00BF0E62">
            <w:pPr>
              <w:pStyle w:val="TextTabulkyRespect"/>
              <w:suppressAutoHyphens/>
              <w:spacing w:line="320" w:lineRule="atLeast"/>
              <w:jc w:val="left"/>
              <w:rPr>
                <w:rFonts w:cs="Arial"/>
                <w:szCs w:val="20"/>
              </w:rPr>
            </w:pPr>
            <w:r>
              <w:rPr>
                <w:rFonts w:cs="Arial"/>
                <w:szCs w:val="20"/>
              </w:rPr>
              <w:t>4</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25FFA4EB" w14:textId="77777777" w:rsidR="005508F0" w:rsidRPr="00434369" w:rsidRDefault="005508F0">
            <w:pPr>
              <w:pStyle w:val="TextTabulkyRespect"/>
              <w:suppressAutoHyphens/>
              <w:spacing w:line="320" w:lineRule="atLeast"/>
              <w:jc w:val="left"/>
              <w:rPr>
                <w:rFonts w:cs="Arial"/>
                <w:szCs w:val="20"/>
              </w:rPr>
            </w:pPr>
            <w:r w:rsidRPr="001B638A">
              <w:rPr>
                <w:rFonts w:cs="Arial"/>
                <w:szCs w:val="20"/>
              </w:rPr>
              <w:t xml:space="preserve">Škody způsobené </w:t>
            </w:r>
            <w:r w:rsidR="009F4AA3" w:rsidRPr="001B638A">
              <w:rPr>
                <w:rFonts w:cs="Arial"/>
                <w:szCs w:val="20"/>
              </w:rPr>
              <w:t xml:space="preserve">na věcech </w:t>
            </w:r>
            <w:r w:rsidRPr="001B638A">
              <w:rPr>
                <w:rFonts w:cs="Arial"/>
                <w:szCs w:val="20"/>
              </w:rPr>
              <w:t>zaměstnancům</w:t>
            </w:r>
          </w:p>
          <w:p w14:paraId="5B668D02" w14:textId="77777777" w:rsidR="005508F0" w:rsidRPr="009F4AA3" w:rsidRDefault="005508F0">
            <w:pPr>
              <w:pStyle w:val="TextTabulkyRespect"/>
              <w:suppressAutoHyphens/>
              <w:spacing w:line="320" w:lineRule="atLeast"/>
              <w:jc w:val="left"/>
              <w:rPr>
                <w:rFonts w:cs="Arial"/>
                <w:strike/>
                <w:szCs w:val="20"/>
              </w:rPr>
            </w:pPr>
          </w:p>
        </w:tc>
        <w:tc>
          <w:tcPr>
            <w:tcW w:w="1030" w:type="pct"/>
            <w:tcBorders>
              <w:top w:val="single" w:sz="6" w:space="0" w:color="auto"/>
              <w:left w:val="single" w:sz="6" w:space="0" w:color="auto"/>
              <w:bottom w:val="single" w:sz="6" w:space="0" w:color="auto"/>
              <w:right w:val="single" w:sz="6" w:space="0" w:color="auto"/>
            </w:tcBorders>
            <w:vAlign w:val="center"/>
            <w:hideMark/>
          </w:tcPr>
          <w:p w14:paraId="083C6411" w14:textId="77777777" w:rsidR="005508F0" w:rsidRPr="00434369" w:rsidRDefault="005508F0">
            <w:pPr>
              <w:pStyle w:val="TextTabulkyRespect"/>
              <w:suppressAutoHyphens/>
              <w:spacing w:line="320" w:lineRule="atLeast"/>
              <w:jc w:val="right"/>
              <w:rPr>
                <w:rFonts w:cs="Arial"/>
                <w:szCs w:val="20"/>
              </w:rPr>
            </w:pPr>
            <w:r w:rsidRPr="00434369">
              <w:rPr>
                <w:rFonts w:cs="Arial"/>
                <w:szCs w:val="20"/>
              </w:rPr>
              <w:t>1.000.000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0FD78797" w14:textId="77777777" w:rsidR="005508F0" w:rsidRPr="00434369" w:rsidRDefault="005508F0">
            <w:pPr>
              <w:pStyle w:val="TextTabulkyRespect"/>
              <w:suppressAutoHyphens/>
              <w:spacing w:line="320" w:lineRule="atLeast"/>
              <w:jc w:val="right"/>
              <w:rPr>
                <w:rFonts w:cs="Arial"/>
                <w:szCs w:val="20"/>
              </w:rPr>
            </w:pPr>
            <w:r w:rsidRPr="00434369">
              <w:rPr>
                <w:rFonts w:cs="Arial"/>
                <w:szCs w:val="20"/>
              </w:rPr>
              <w:t>1.000</w:t>
            </w:r>
          </w:p>
        </w:tc>
      </w:tr>
      <w:tr w:rsidR="001B638A" w14:paraId="434758D9"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006A2D9A" w14:textId="77777777" w:rsidR="001B638A" w:rsidRDefault="001B638A">
            <w:pPr>
              <w:pStyle w:val="TextTabulkyRespect"/>
              <w:suppressAutoHyphens/>
              <w:spacing w:line="320" w:lineRule="atLeast"/>
              <w:jc w:val="left"/>
              <w:rPr>
                <w:rFonts w:cs="Arial"/>
                <w:szCs w:val="20"/>
              </w:rPr>
            </w:pPr>
            <w:r>
              <w:rPr>
                <w:rFonts w:cs="Arial"/>
                <w:szCs w:val="20"/>
              </w:rPr>
              <w:t>5</w:t>
            </w:r>
          </w:p>
        </w:tc>
        <w:tc>
          <w:tcPr>
            <w:tcW w:w="2208" w:type="pct"/>
            <w:tcBorders>
              <w:top w:val="single" w:sz="6" w:space="0" w:color="auto"/>
              <w:left w:val="single" w:sz="12" w:space="0" w:color="auto"/>
              <w:bottom w:val="single" w:sz="6" w:space="0" w:color="auto"/>
              <w:right w:val="single" w:sz="6" w:space="0" w:color="auto"/>
            </w:tcBorders>
            <w:vAlign w:val="center"/>
          </w:tcPr>
          <w:p w14:paraId="04642538" w14:textId="77777777" w:rsidR="001B638A" w:rsidRPr="001B638A" w:rsidRDefault="001B638A">
            <w:pPr>
              <w:pStyle w:val="TextTabulkyRespect"/>
              <w:suppressAutoHyphens/>
              <w:spacing w:line="320" w:lineRule="atLeast"/>
              <w:jc w:val="left"/>
              <w:rPr>
                <w:rFonts w:cs="Arial"/>
                <w:szCs w:val="20"/>
              </w:rPr>
            </w:pPr>
            <w:r w:rsidRPr="001B638A">
              <w:rPr>
                <w:rFonts w:cs="Arial"/>
                <w:szCs w:val="20"/>
              </w:rPr>
              <w:t>Škody na věcech vnesených a odložených</w:t>
            </w:r>
          </w:p>
        </w:tc>
        <w:tc>
          <w:tcPr>
            <w:tcW w:w="1030" w:type="pct"/>
            <w:tcBorders>
              <w:top w:val="single" w:sz="6" w:space="0" w:color="auto"/>
              <w:left w:val="single" w:sz="6" w:space="0" w:color="auto"/>
              <w:bottom w:val="single" w:sz="6" w:space="0" w:color="auto"/>
              <w:right w:val="single" w:sz="6" w:space="0" w:color="auto"/>
            </w:tcBorders>
            <w:vAlign w:val="center"/>
          </w:tcPr>
          <w:p w14:paraId="10F498A2" w14:textId="77998D99" w:rsidR="00290C65" w:rsidRPr="00847BF4" w:rsidRDefault="00290C65">
            <w:pPr>
              <w:pStyle w:val="TextTabulkyRespect"/>
              <w:suppressAutoHyphens/>
              <w:spacing w:line="320" w:lineRule="atLeast"/>
              <w:jc w:val="right"/>
              <w:rPr>
                <w:rFonts w:cs="Arial"/>
                <w:szCs w:val="20"/>
              </w:rPr>
            </w:pPr>
            <w:r w:rsidRPr="00847BF4">
              <w:rPr>
                <w:rFonts w:cs="Arial"/>
                <w:szCs w:val="20"/>
              </w:rPr>
              <w:t>5.000.000</w:t>
            </w:r>
          </w:p>
        </w:tc>
        <w:tc>
          <w:tcPr>
            <w:tcW w:w="1386" w:type="pct"/>
            <w:tcBorders>
              <w:top w:val="single" w:sz="6" w:space="0" w:color="auto"/>
              <w:left w:val="single" w:sz="6" w:space="0" w:color="auto"/>
              <w:bottom w:val="single" w:sz="6" w:space="0" w:color="auto"/>
              <w:right w:val="single" w:sz="12" w:space="0" w:color="auto"/>
            </w:tcBorders>
            <w:vAlign w:val="center"/>
          </w:tcPr>
          <w:p w14:paraId="1290422C" w14:textId="77777777" w:rsidR="001B638A" w:rsidRPr="00847BF4" w:rsidRDefault="001B638A">
            <w:pPr>
              <w:pStyle w:val="TextTabulkyRespect"/>
              <w:suppressAutoHyphens/>
              <w:spacing w:line="320" w:lineRule="atLeast"/>
              <w:jc w:val="right"/>
              <w:rPr>
                <w:rFonts w:cs="Arial"/>
                <w:szCs w:val="20"/>
              </w:rPr>
            </w:pPr>
            <w:r w:rsidRPr="00847BF4">
              <w:rPr>
                <w:rFonts w:cs="Arial"/>
                <w:szCs w:val="20"/>
              </w:rPr>
              <w:t>1.000</w:t>
            </w:r>
          </w:p>
        </w:tc>
      </w:tr>
      <w:tr w:rsidR="005508F0" w14:paraId="37BD1F57"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23285814" w14:textId="77777777" w:rsidR="005508F0" w:rsidRPr="00434369" w:rsidRDefault="001B638A" w:rsidP="001B638A">
            <w:pPr>
              <w:pStyle w:val="TextTabulkyRespect"/>
              <w:suppressAutoHyphens/>
              <w:spacing w:line="320" w:lineRule="atLeast"/>
              <w:jc w:val="left"/>
              <w:rPr>
                <w:rFonts w:cs="Arial"/>
                <w:szCs w:val="20"/>
              </w:rPr>
            </w:pPr>
            <w:r>
              <w:rPr>
                <w:rFonts w:cs="Arial"/>
                <w:szCs w:val="20"/>
              </w:rPr>
              <w:t>6</w:t>
            </w:r>
          </w:p>
        </w:tc>
        <w:tc>
          <w:tcPr>
            <w:tcW w:w="2208" w:type="pct"/>
            <w:tcBorders>
              <w:top w:val="single" w:sz="6" w:space="0" w:color="auto"/>
              <w:left w:val="single" w:sz="12" w:space="0" w:color="auto"/>
              <w:bottom w:val="single" w:sz="6" w:space="0" w:color="auto"/>
              <w:right w:val="single" w:sz="6" w:space="0" w:color="auto"/>
            </w:tcBorders>
            <w:vAlign w:val="center"/>
          </w:tcPr>
          <w:p w14:paraId="5DC7BBC0" w14:textId="77777777" w:rsidR="005508F0" w:rsidRPr="00434369" w:rsidRDefault="005508F0">
            <w:pPr>
              <w:pStyle w:val="TextTabulkyRespect"/>
              <w:suppressAutoHyphens/>
              <w:spacing w:line="320" w:lineRule="atLeast"/>
              <w:jc w:val="left"/>
              <w:rPr>
                <w:rFonts w:cs="Arial"/>
                <w:szCs w:val="20"/>
              </w:rPr>
            </w:pPr>
            <w:r w:rsidRPr="001B638A">
              <w:rPr>
                <w:rFonts w:cs="Arial"/>
                <w:szCs w:val="20"/>
              </w:rPr>
              <w:t>Újmy způsobené v souvislosti s činností pojištěného „mimoškolní výchova a vzdělávání, pořádání kurzů, školení vč. lektorské činnosti“, včetně újmy způsobené studentu, který vykonává praxi u pojištěného v rámci základního PL</w:t>
            </w:r>
            <w:r w:rsidRPr="001B638A">
              <w:rPr>
                <w:rFonts w:cs="Arial"/>
                <w:b/>
                <w:szCs w:val="20"/>
              </w:rPr>
              <w:t xml:space="preserve">                                                                                                                                                                                                                      </w:t>
            </w:r>
          </w:p>
        </w:tc>
        <w:tc>
          <w:tcPr>
            <w:tcW w:w="1030" w:type="pct"/>
            <w:tcBorders>
              <w:top w:val="single" w:sz="6" w:space="0" w:color="auto"/>
              <w:left w:val="single" w:sz="6" w:space="0" w:color="auto"/>
              <w:bottom w:val="single" w:sz="6" w:space="0" w:color="auto"/>
              <w:right w:val="single" w:sz="6" w:space="0" w:color="auto"/>
            </w:tcBorders>
            <w:vAlign w:val="center"/>
          </w:tcPr>
          <w:p w14:paraId="527A8F56" w14:textId="77777777" w:rsidR="005508F0" w:rsidRPr="00434369" w:rsidRDefault="005508F0">
            <w:pPr>
              <w:pStyle w:val="TextTabulkyRespect"/>
              <w:suppressAutoHyphens/>
              <w:spacing w:line="320" w:lineRule="atLeast"/>
              <w:jc w:val="right"/>
              <w:rPr>
                <w:rFonts w:cs="Arial"/>
                <w:szCs w:val="20"/>
              </w:rPr>
            </w:pPr>
            <w:r w:rsidRPr="00434369">
              <w:rPr>
                <w:rFonts w:cs="Arial"/>
                <w:szCs w:val="20"/>
              </w:rPr>
              <w:t>1.000.000</w:t>
            </w:r>
          </w:p>
        </w:tc>
        <w:tc>
          <w:tcPr>
            <w:tcW w:w="1386" w:type="pct"/>
            <w:tcBorders>
              <w:top w:val="single" w:sz="6" w:space="0" w:color="auto"/>
              <w:left w:val="single" w:sz="6" w:space="0" w:color="auto"/>
              <w:bottom w:val="single" w:sz="6" w:space="0" w:color="auto"/>
              <w:right w:val="single" w:sz="12" w:space="0" w:color="auto"/>
            </w:tcBorders>
            <w:vAlign w:val="center"/>
          </w:tcPr>
          <w:p w14:paraId="42D9C73C" w14:textId="77777777" w:rsidR="005508F0" w:rsidRPr="00434369" w:rsidRDefault="001B638A" w:rsidP="001B638A">
            <w:pPr>
              <w:pStyle w:val="TextTabulkyRespect"/>
              <w:suppressAutoHyphens/>
              <w:spacing w:line="320" w:lineRule="atLeast"/>
              <w:jc w:val="right"/>
              <w:rPr>
                <w:rFonts w:cs="Arial"/>
                <w:szCs w:val="20"/>
              </w:rPr>
            </w:pPr>
            <w:r>
              <w:rPr>
                <w:rFonts w:cs="Arial"/>
                <w:szCs w:val="20"/>
              </w:rPr>
              <w:t>1.000</w:t>
            </w:r>
          </w:p>
        </w:tc>
      </w:tr>
      <w:tr w:rsidR="005508F0" w14:paraId="4761A3EA"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6D681E93" w14:textId="77777777" w:rsidR="005508F0" w:rsidRPr="00434369" w:rsidRDefault="001B638A" w:rsidP="001B638A">
            <w:pPr>
              <w:pStyle w:val="TextTabulkyRespect"/>
              <w:suppressAutoHyphens/>
              <w:spacing w:line="320" w:lineRule="atLeast"/>
              <w:jc w:val="left"/>
              <w:rPr>
                <w:rFonts w:cs="Arial"/>
                <w:szCs w:val="20"/>
              </w:rPr>
            </w:pPr>
            <w:r>
              <w:rPr>
                <w:rFonts w:cs="Arial"/>
                <w:szCs w:val="20"/>
              </w:rPr>
              <w:t>7</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4E69E2AA" w14:textId="77777777" w:rsidR="005508F0" w:rsidRPr="00434369" w:rsidRDefault="005508F0" w:rsidP="001B638A">
            <w:pPr>
              <w:pStyle w:val="TextTabulkyRespect"/>
              <w:suppressAutoHyphens/>
              <w:spacing w:line="320" w:lineRule="atLeast"/>
              <w:jc w:val="left"/>
              <w:rPr>
                <w:rFonts w:cs="Arial"/>
                <w:szCs w:val="20"/>
              </w:rPr>
            </w:pPr>
            <w:r w:rsidRPr="00434369">
              <w:rPr>
                <w:rFonts w:cs="Arial"/>
                <w:szCs w:val="20"/>
              </w:rPr>
              <w:t>Věci převzat</w:t>
            </w:r>
            <w:r w:rsidR="001B638A">
              <w:rPr>
                <w:rFonts w:cs="Arial"/>
                <w:szCs w:val="20"/>
              </w:rPr>
              <w:t xml:space="preserve">é – movité věci a zvířata, </w:t>
            </w:r>
            <w:r w:rsidRPr="00434369">
              <w:rPr>
                <w:rFonts w:cs="Arial"/>
                <w:szCs w:val="20"/>
              </w:rPr>
              <w:t>včetně odpovědnosti za škodu na dopravních prostředcích a jejich příslušenství umístěných v garážích nebo jiných podnicích podobného druhu provozovaných pojištěným</w:t>
            </w:r>
          </w:p>
        </w:tc>
        <w:tc>
          <w:tcPr>
            <w:tcW w:w="1030" w:type="pct"/>
            <w:tcBorders>
              <w:top w:val="single" w:sz="6" w:space="0" w:color="auto"/>
              <w:left w:val="single" w:sz="6" w:space="0" w:color="auto"/>
              <w:bottom w:val="single" w:sz="6" w:space="0" w:color="auto"/>
              <w:right w:val="single" w:sz="6" w:space="0" w:color="auto"/>
            </w:tcBorders>
            <w:vAlign w:val="center"/>
            <w:hideMark/>
          </w:tcPr>
          <w:p w14:paraId="58DA292E" w14:textId="77777777" w:rsidR="005508F0" w:rsidRDefault="001B638A" w:rsidP="001B638A">
            <w:pPr>
              <w:pStyle w:val="TextTabulkyRespect"/>
              <w:suppressAutoHyphens/>
              <w:spacing w:line="320" w:lineRule="atLeast"/>
              <w:jc w:val="right"/>
              <w:rPr>
                <w:rFonts w:cs="Arial"/>
                <w:szCs w:val="20"/>
              </w:rPr>
            </w:pPr>
            <w:r>
              <w:rPr>
                <w:rFonts w:cs="Arial"/>
                <w:szCs w:val="20"/>
              </w:rPr>
              <w:t>10</w:t>
            </w:r>
            <w:r w:rsidR="005508F0" w:rsidRPr="00434369">
              <w:rPr>
                <w:rFonts w:cs="Arial"/>
                <w:szCs w:val="20"/>
              </w:rPr>
              <w:t>.000.000</w:t>
            </w:r>
          </w:p>
          <w:p w14:paraId="4F2977F0" w14:textId="00863B72" w:rsidR="00290C65" w:rsidRPr="00434369" w:rsidRDefault="00290C65" w:rsidP="001B638A">
            <w:pPr>
              <w:pStyle w:val="TextTabulkyRespect"/>
              <w:suppressAutoHyphens/>
              <w:spacing w:line="320" w:lineRule="atLeast"/>
              <w:jc w:val="right"/>
              <w:rPr>
                <w:rFonts w:cs="Arial"/>
                <w:szCs w:val="20"/>
              </w:rPr>
            </w:pPr>
          </w:p>
        </w:tc>
        <w:tc>
          <w:tcPr>
            <w:tcW w:w="1386" w:type="pct"/>
            <w:tcBorders>
              <w:top w:val="single" w:sz="6" w:space="0" w:color="auto"/>
              <w:left w:val="single" w:sz="6" w:space="0" w:color="auto"/>
              <w:bottom w:val="single" w:sz="6" w:space="0" w:color="auto"/>
              <w:right w:val="single" w:sz="12" w:space="0" w:color="auto"/>
            </w:tcBorders>
            <w:vAlign w:val="center"/>
            <w:hideMark/>
          </w:tcPr>
          <w:p w14:paraId="04EB0669" w14:textId="77777777" w:rsidR="005508F0" w:rsidRPr="00434369" w:rsidRDefault="001B638A" w:rsidP="001B638A">
            <w:pPr>
              <w:pStyle w:val="TextTabulkyRespect"/>
              <w:suppressAutoHyphens/>
              <w:spacing w:line="320" w:lineRule="atLeast"/>
              <w:jc w:val="right"/>
              <w:rPr>
                <w:rFonts w:cs="Arial"/>
                <w:szCs w:val="20"/>
              </w:rPr>
            </w:pPr>
            <w:r>
              <w:rPr>
                <w:rFonts w:cs="Arial"/>
                <w:szCs w:val="20"/>
              </w:rPr>
              <w:t>1</w:t>
            </w:r>
            <w:r w:rsidR="005508F0" w:rsidRPr="00434369">
              <w:rPr>
                <w:rFonts w:cs="Arial"/>
                <w:szCs w:val="20"/>
              </w:rPr>
              <w:t>.000</w:t>
            </w:r>
          </w:p>
        </w:tc>
      </w:tr>
      <w:tr w:rsidR="005508F0" w14:paraId="6ED9899E"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07DA2393" w14:textId="77777777" w:rsidR="005508F0" w:rsidRDefault="00576DF0">
            <w:pPr>
              <w:pStyle w:val="TextTabulkyRespect"/>
              <w:suppressAutoHyphens/>
              <w:spacing w:line="320" w:lineRule="atLeast"/>
              <w:jc w:val="left"/>
              <w:rPr>
                <w:rFonts w:cs="Arial"/>
                <w:szCs w:val="20"/>
              </w:rPr>
            </w:pPr>
            <w:r>
              <w:rPr>
                <w:rFonts w:cs="Arial"/>
                <w:szCs w:val="20"/>
              </w:rPr>
              <w:t>8</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56937087" w14:textId="77777777" w:rsidR="005508F0" w:rsidRDefault="005508F0">
            <w:pPr>
              <w:pStyle w:val="TextTabulkyRespect"/>
              <w:suppressAutoHyphens/>
              <w:spacing w:line="320" w:lineRule="atLeast"/>
              <w:jc w:val="left"/>
              <w:rPr>
                <w:rFonts w:cs="Arial"/>
                <w:szCs w:val="20"/>
              </w:rPr>
            </w:pPr>
            <w:r>
              <w:rPr>
                <w:rFonts w:cs="Arial"/>
                <w:szCs w:val="20"/>
              </w:rPr>
              <w:t xml:space="preserve">Věci užívané – movité věci a zvířata </w:t>
            </w:r>
          </w:p>
          <w:p w14:paraId="7150D8BC" w14:textId="77777777" w:rsidR="005508F0" w:rsidRDefault="005508F0">
            <w:pPr>
              <w:pStyle w:val="TextTabulkyRespect"/>
              <w:suppressAutoHyphens/>
              <w:spacing w:line="320" w:lineRule="atLeast"/>
              <w:jc w:val="left"/>
              <w:rPr>
                <w:rFonts w:cs="Arial"/>
                <w:szCs w:val="20"/>
              </w:rPr>
            </w:pPr>
            <w:r>
              <w:rPr>
                <w:rFonts w:cs="Arial"/>
                <w:szCs w:val="20"/>
              </w:rPr>
              <w:t>(kromě motorových vozidel)</w:t>
            </w:r>
          </w:p>
        </w:tc>
        <w:tc>
          <w:tcPr>
            <w:tcW w:w="1030" w:type="pct"/>
            <w:tcBorders>
              <w:top w:val="single" w:sz="6" w:space="0" w:color="auto"/>
              <w:left w:val="single" w:sz="6" w:space="0" w:color="auto"/>
              <w:bottom w:val="single" w:sz="6" w:space="0" w:color="auto"/>
              <w:right w:val="single" w:sz="6" w:space="0" w:color="auto"/>
            </w:tcBorders>
            <w:vAlign w:val="center"/>
            <w:hideMark/>
          </w:tcPr>
          <w:p w14:paraId="4597A181" w14:textId="77777777" w:rsidR="005508F0" w:rsidRDefault="001328A2" w:rsidP="001328A2">
            <w:pPr>
              <w:pStyle w:val="TextTabulkyRespect"/>
              <w:suppressAutoHyphens/>
              <w:spacing w:line="320" w:lineRule="atLeast"/>
              <w:jc w:val="right"/>
              <w:rPr>
                <w:szCs w:val="20"/>
              </w:rPr>
            </w:pPr>
            <w:r>
              <w:rPr>
                <w:szCs w:val="20"/>
              </w:rPr>
              <w:t>10</w:t>
            </w:r>
            <w:r w:rsidR="005508F0">
              <w:rPr>
                <w:szCs w:val="20"/>
              </w:rPr>
              <w:t>.000.000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651B996B" w14:textId="77777777" w:rsidR="005508F0" w:rsidRDefault="001328A2" w:rsidP="001328A2">
            <w:pPr>
              <w:pStyle w:val="TextTabulkyRespect"/>
              <w:suppressAutoHyphens/>
              <w:spacing w:line="320" w:lineRule="atLeast"/>
              <w:jc w:val="right"/>
              <w:rPr>
                <w:szCs w:val="20"/>
              </w:rPr>
            </w:pPr>
            <w:r>
              <w:rPr>
                <w:szCs w:val="20"/>
              </w:rPr>
              <w:t>1.000</w:t>
            </w:r>
          </w:p>
        </w:tc>
      </w:tr>
      <w:tr w:rsidR="005508F0" w14:paraId="5F123756"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2A8153E2" w14:textId="77777777" w:rsidR="005508F0" w:rsidRDefault="00576DF0">
            <w:pPr>
              <w:pStyle w:val="TextTabulkyRespect"/>
              <w:suppressAutoHyphens/>
              <w:spacing w:line="320" w:lineRule="atLeast"/>
              <w:jc w:val="left"/>
              <w:rPr>
                <w:rFonts w:cs="Arial"/>
                <w:szCs w:val="20"/>
              </w:rPr>
            </w:pPr>
            <w:r>
              <w:rPr>
                <w:rFonts w:cs="Arial"/>
                <w:szCs w:val="20"/>
              </w:rPr>
              <w:t>9</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3E7BC4B7" w14:textId="77777777" w:rsidR="005508F0" w:rsidRDefault="005508F0">
            <w:pPr>
              <w:pStyle w:val="TextTabulkyRespect"/>
              <w:suppressAutoHyphens/>
              <w:spacing w:line="320" w:lineRule="atLeast"/>
              <w:jc w:val="left"/>
              <w:rPr>
                <w:rFonts w:cs="Arial"/>
                <w:szCs w:val="20"/>
              </w:rPr>
            </w:pPr>
            <w:r w:rsidRPr="00576DF0">
              <w:rPr>
                <w:rFonts w:cs="Arial"/>
                <w:szCs w:val="20"/>
              </w:rPr>
              <w:t>Újma způsobená přenosem viru HIV a jakékoliv formy hepatitidy</w:t>
            </w:r>
          </w:p>
        </w:tc>
        <w:tc>
          <w:tcPr>
            <w:tcW w:w="1030" w:type="pct"/>
            <w:tcBorders>
              <w:top w:val="single" w:sz="6" w:space="0" w:color="auto"/>
              <w:left w:val="single" w:sz="6" w:space="0" w:color="auto"/>
              <w:bottom w:val="single" w:sz="6" w:space="0" w:color="auto"/>
              <w:right w:val="single" w:sz="6" w:space="0" w:color="auto"/>
            </w:tcBorders>
            <w:vAlign w:val="center"/>
            <w:hideMark/>
          </w:tcPr>
          <w:p w14:paraId="2D36827D" w14:textId="77777777" w:rsidR="005508F0" w:rsidRDefault="005508F0">
            <w:pPr>
              <w:pStyle w:val="TextTabulkyRespect"/>
              <w:suppressAutoHyphens/>
              <w:spacing w:line="320" w:lineRule="atLeast"/>
              <w:jc w:val="right"/>
              <w:rPr>
                <w:szCs w:val="20"/>
              </w:rPr>
            </w:pPr>
            <w:r w:rsidRPr="00576DF0">
              <w:rPr>
                <w:szCs w:val="20"/>
              </w:rPr>
              <w:t>plná výše základního limitu</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11072B39" w14:textId="77777777" w:rsidR="00E90365" w:rsidRDefault="00E90365" w:rsidP="00E90365">
            <w:pPr>
              <w:pStyle w:val="TextTabulkyRespect"/>
              <w:suppressAutoHyphens/>
              <w:spacing w:line="320" w:lineRule="atLeast"/>
              <w:jc w:val="right"/>
              <w:rPr>
                <w:szCs w:val="20"/>
              </w:rPr>
            </w:pPr>
            <w:r w:rsidRPr="001B638A">
              <w:rPr>
                <w:szCs w:val="20"/>
              </w:rPr>
              <w:t>250.000</w:t>
            </w:r>
          </w:p>
          <w:p w14:paraId="5B11DE15" w14:textId="77777777" w:rsidR="00E90365" w:rsidRDefault="00E90365" w:rsidP="00E90365">
            <w:pPr>
              <w:pStyle w:val="TextTabulkyRespect"/>
              <w:suppressAutoHyphens/>
              <w:spacing w:line="320" w:lineRule="atLeast"/>
              <w:jc w:val="right"/>
              <w:rPr>
                <w:szCs w:val="20"/>
              </w:rPr>
            </w:pPr>
          </w:p>
          <w:p w14:paraId="1F38BF5E" w14:textId="4DF49C71" w:rsidR="005508F0" w:rsidRPr="00E90365" w:rsidRDefault="00E90365" w:rsidP="00E90365">
            <w:pPr>
              <w:pStyle w:val="TextTabulkyRespect"/>
              <w:suppressAutoHyphens/>
              <w:spacing w:line="320" w:lineRule="atLeast"/>
              <w:jc w:val="right"/>
              <w:rPr>
                <w:szCs w:val="20"/>
              </w:rPr>
            </w:pPr>
            <w:r>
              <w:rPr>
                <w:szCs w:val="20"/>
              </w:rPr>
              <w:t xml:space="preserve">Pro obor gynekologie-porodnictví a neonatologie </w:t>
            </w:r>
            <w:proofErr w:type="gramStart"/>
            <w:r>
              <w:rPr>
                <w:szCs w:val="20"/>
              </w:rPr>
              <w:t>10%</w:t>
            </w:r>
            <w:proofErr w:type="gramEnd"/>
            <w:r>
              <w:rPr>
                <w:szCs w:val="20"/>
              </w:rPr>
              <w:t xml:space="preserve"> min. 500.000</w:t>
            </w:r>
          </w:p>
        </w:tc>
      </w:tr>
      <w:tr w:rsidR="005508F0" w14:paraId="1FD424C1"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58E1D54D" w14:textId="77777777" w:rsidR="005508F0" w:rsidRDefault="00576DF0">
            <w:pPr>
              <w:pStyle w:val="TextTabulkyRespect"/>
              <w:suppressAutoHyphens/>
              <w:spacing w:line="320" w:lineRule="atLeast"/>
              <w:jc w:val="left"/>
              <w:rPr>
                <w:rFonts w:cs="Arial"/>
                <w:szCs w:val="20"/>
              </w:rPr>
            </w:pPr>
            <w:r>
              <w:rPr>
                <w:rFonts w:cs="Arial"/>
                <w:szCs w:val="20"/>
              </w:rPr>
              <w:t>10</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6AC0DCDD" w14:textId="77777777" w:rsidR="005508F0" w:rsidRDefault="005508F0">
            <w:pPr>
              <w:pStyle w:val="TextTabulkyRespect"/>
              <w:suppressAutoHyphens/>
              <w:spacing w:line="320" w:lineRule="atLeast"/>
              <w:jc w:val="left"/>
              <w:rPr>
                <w:rFonts w:cs="Arial"/>
                <w:szCs w:val="20"/>
              </w:rPr>
            </w:pPr>
            <w:r>
              <w:rPr>
                <w:rFonts w:cs="Arial"/>
                <w:szCs w:val="20"/>
              </w:rPr>
              <w:t>Újma způsobená následkem umělého přerušení těhotenství – tento limit platí pro úkony za přímou finanční úhradu, ostatní je do výše základního limitu</w:t>
            </w:r>
          </w:p>
        </w:tc>
        <w:tc>
          <w:tcPr>
            <w:tcW w:w="1030" w:type="pct"/>
            <w:tcBorders>
              <w:top w:val="single" w:sz="6" w:space="0" w:color="auto"/>
              <w:left w:val="single" w:sz="6" w:space="0" w:color="auto"/>
              <w:bottom w:val="single" w:sz="6" w:space="0" w:color="auto"/>
              <w:right w:val="single" w:sz="6" w:space="0" w:color="auto"/>
            </w:tcBorders>
            <w:vAlign w:val="center"/>
            <w:hideMark/>
          </w:tcPr>
          <w:p w14:paraId="03E5E7BA" w14:textId="77777777" w:rsidR="005508F0" w:rsidRDefault="005508F0">
            <w:pPr>
              <w:pStyle w:val="TextTabulkyRespect"/>
              <w:suppressAutoHyphens/>
              <w:spacing w:line="320" w:lineRule="atLeast"/>
              <w:jc w:val="right"/>
              <w:rPr>
                <w:szCs w:val="20"/>
              </w:rPr>
            </w:pPr>
            <w:r>
              <w:rPr>
                <w:szCs w:val="20"/>
              </w:rPr>
              <w:t>15.000.000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58F08035" w14:textId="77777777" w:rsidR="00E90365" w:rsidRDefault="00E90365" w:rsidP="00E90365">
            <w:pPr>
              <w:pStyle w:val="TextTabulkyRespect"/>
              <w:suppressAutoHyphens/>
              <w:spacing w:line="320" w:lineRule="atLeast"/>
              <w:jc w:val="right"/>
              <w:rPr>
                <w:szCs w:val="20"/>
              </w:rPr>
            </w:pPr>
            <w:r w:rsidRPr="001B638A">
              <w:rPr>
                <w:szCs w:val="20"/>
              </w:rPr>
              <w:t>250.000</w:t>
            </w:r>
          </w:p>
          <w:p w14:paraId="1D734E18" w14:textId="77777777" w:rsidR="00E90365" w:rsidRDefault="00E90365" w:rsidP="00E90365">
            <w:pPr>
              <w:pStyle w:val="TextTabulkyRespect"/>
              <w:suppressAutoHyphens/>
              <w:spacing w:line="320" w:lineRule="atLeast"/>
              <w:jc w:val="right"/>
              <w:rPr>
                <w:szCs w:val="20"/>
              </w:rPr>
            </w:pPr>
          </w:p>
          <w:p w14:paraId="25F76B17" w14:textId="3C2280E1" w:rsidR="005508F0" w:rsidRDefault="00E90365" w:rsidP="00E90365">
            <w:pPr>
              <w:pStyle w:val="TextTabulkyRespect"/>
              <w:suppressAutoHyphens/>
              <w:spacing w:line="320" w:lineRule="atLeast"/>
              <w:jc w:val="right"/>
              <w:rPr>
                <w:szCs w:val="20"/>
              </w:rPr>
            </w:pPr>
            <w:r>
              <w:rPr>
                <w:szCs w:val="20"/>
              </w:rPr>
              <w:t xml:space="preserve">Pro obor gynekologie-porodnictví a neonatologie </w:t>
            </w:r>
            <w:proofErr w:type="gramStart"/>
            <w:r>
              <w:rPr>
                <w:szCs w:val="20"/>
              </w:rPr>
              <w:t>10%</w:t>
            </w:r>
            <w:proofErr w:type="gramEnd"/>
            <w:r>
              <w:rPr>
                <w:szCs w:val="20"/>
              </w:rPr>
              <w:t xml:space="preserve"> min. 500.000</w:t>
            </w:r>
          </w:p>
        </w:tc>
      </w:tr>
      <w:tr w:rsidR="005508F0" w14:paraId="60223057"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2892B9F6" w14:textId="77777777" w:rsidR="005508F0" w:rsidRDefault="00672CBD">
            <w:pPr>
              <w:pStyle w:val="TextTabulkyRespect"/>
              <w:suppressAutoHyphens/>
              <w:spacing w:line="320" w:lineRule="atLeast"/>
              <w:jc w:val="left"/>
              <w:rPr>
                <w:rFonts w:cs="Arial"/>
                <w:szCs w:val="20"/>
              </w:rPr>
            </w:pPr>
            <w:r>
              <w:rPr>
                <w:rFonts w:cs="Arial"/>
                <w:szCs w:val="20"/>
              </w:rPr>
              <w:t>11</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1FF4CE89" w14:textId="77777777" w:rsidR="005508F0" w:rsidRDefault="005508F0">
            <w:pPr>
              <w:pStyle w:val="TextTabulkyRespect"/>
              <w:suppressAutoHyphens/>
              <w:spacing w:line="320" w:lineRule="atLeast"/>
              <w:jc w:val="left"/>
              <w:rPr>
                <w:rFonts w:cs="Arial"/>
                <w:szCs w:val="20"/>
              </w:rPr>
            </w:pPr>
            <w:r>
              <w:rPr>
                <w:rFonts w:cs="Arial"/>
                <w:szCs w:val="20"/>
              </w:rPr>
              <w:t>Újma způsobená při provozování tkáňové banky</w:t>
            </w:r>
          </w:p>
        </w:tc>
        <w:tc>
          <w:tcPr>
            <w:tcW w:w="1030" w:type="pct"/>
            <w:tcBorders>
              <w:top w:val="single" w:sz="6" w:space="0" w:color="auto"/>
              <w:left w:val="single" w:sz="6" w:space="0" w:color="auto"/>
              <w:bottom w:val="single" w:sz="6" w:space="0" w:color="auto"/>
              <w:right w:val="single" w:sz="6" w:space="0" w:color="auto"/>
            </w:tcBorders>
            <w:vAlign w:val="center"/>
            <w:hideMark/>
          </w:tcPr>
          <w:p w14:paraId="0DA43224" w14:textId="77777777" w:rsidR="005508F0" w:rsidRDefault="005508F0">
            <w:pPr>
              <w:pStyle w:val="TextTabulkyRespect"/>
              <w:suppressAutoHyphens/>
              <w:spacing w:line="320" w:lineRule="atLeast"/>
              <w:jc w:val="right"/>
              <w:rPr>
                <w:szCs w:val="20"/>
              </w:rPr>
            </w:pPr>
            <w:r>
              <w:rPr>
                <w:szCs w:val="20"/>
              </w:rPr>
              <w:t>5.000.000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04CCFB42" w14:textId="77777777" w:rsidR="00E90365" w:rsidRDefault="00E90365" w:rsidP="00E90365">
            <w:pPr>
              <w:pStyle w:val="TextTabulkyRespect"/>
              <w:suppressAutoHyphens/>
              <w:spacing w:line="320" w:lineRule="atLeast"/>
              <w:jc w:val="right"/>
              <w:rPr>
                <w:szCs w:val="20"/>
              </w:rPr>
            </w:pPr>
            <w:r w:rsidRPr="001B638A">
              <w:rPr>
                <w:szCs w:val="20"/>
              </w:rPr>
              <w:t>250.000</w:t>
            </w:r>
          </w:p>
          <w:p w14:paraId="46CFCBEC" w14:textId="77777777" w:rsidR="00E90365" w:rsidRDefault="00E90365" w:rsidP="00E90365">
            <w:pPr>
              <w:pStyle w:val="TextTabulkyRespect"/>
              <w:suppressAutoHyphens/>
              <w:spacing w:line="320" w:lineRule="atLeast"/>
              <w:jc w:val="right"/>
              <w:rPr>
                <w:szCs w:val="20"/>
              </w:rPr>
            </w:pPr>
          </w:p>
          <w:p w14:paraId="6F2456C8" w14:textId="12B70BD0" w:rsidR="005508F0" w:rsidRDefault="00E90365" w:rsidP="00E90365">
            <w:pPr>
              <w:pStyle w:val="TextTabulkyRespect"/>
              <w:suppressAutoHyphens/>
              <w:spacing w:line="320" w:lineRule="atLeast"/>
              <w:jc w:val="right"/>
              <w:rPr>
                <w:szCs w:val="20"/>
              </w:rPr>
            </w:pPr>
            <w:r>
              <w:rPr>
                <w:szCs w:val="20"/>
              </w:rPr>
              <w:t xml:space="preserve">Pro obor gynekologie-porodnictví a neonatologie </w:t>
            </w:r>
            <w:proofErr w:type="gramStart"/>
            <w:r>
              <w:rPr>
                <w:szCs w:val="20"/>
              </w:rPr>
              <w:t>10%</w:t>
            </w:r>
            <w:proofErr w:type="gramEnd"/>
            <w:r>
              <w:rPr>
                <w:szCs w:val="20"/>
              </w:rPr>
              <w:t xml:space="preserve"> min. 500.000</w:t>
            </w:r>
          </w:p>
        </w:tc>
      </w:tr>
      <w:tr w:rsidR="005508F0" w14:paraId="081991D2"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1AA552D9" w14:textId="77777777" w:rsidR="005508F0" w:rsidRDefault="00672CBD">
            <w:pPr>
              <w:pStyle w:val="TextTabulkyRespect"/>
              <w:suppressAutoHyphens/>
              <w:spacing w:line="320" w:lineRule="atLeast"/>
              <w:jc w:val="left"/>
              <w:rPr>
                <w:rFonts w:cs="Arial"/>
                <w:szCs w:val="20"/>
              </w:rPr>
            </w:pPr>
            <w:r>
              <w:rPr>
                <w:rFonts w:cs="Arial"/>
                <w:szCs w:val="20"/>
              </w:rPr>
              <w:t>12</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53680F1F" w14:textId="77777777" w:rsidR="005508F0" w:rsidRDefault="005508F0">
            <w:pPr>
              <w:pStyle w:val="TextTabulkyRespect"/>
              <w:suppressAutoHyphens/>
              <w:spacing w:line="320" w:lineRule="atLeast"/>
              <w:jc w:val="left"/>
              <w:rPr>
                <w:rFonts w:cs="Arial"/>
                <w:szCs w:val="20"/>
              </w:rPr>
            </w:pPr>
            <w:r>
              <w:rPr>
                <w:rFonts w:cs="Arial"/>
                <w:szCs w:val="20"/>
              </w:rPr>
              <w:t xml:space="preserve">Újma způsobená </w:t>
            </w:r>
            <w:r w:rsidRPr="001328A2">
              <w:rPr>
                <w:rFonts w:cs="Arial"/>
                <w:szCs w:val="20"/>
              </w:rPr>
              <w:t>činností transfúzní stanice a krevní banky a újma způsobená krví nebo krevní plazmou</w:t>
            </w:r>
          </w:p>
        </w:tc>
        <w:tc>
          <w:tcPr>
            <w:tcW w:w="1030" w:type="pct"/>
            <w:tcBorders>
              <w:top w:val="single" w:sz="6" w:space="0" w:color="auto"/>
              <w:left w:val="single" w:sz="6" w:space="0" w:color="auto"/>
              <w:bottom w:val="single" w:sz="6" w:space="0" w:color="auto"/>
              <w:right w:val="single" w:sz="6" w:space="0" w:color="auto"/>
            </w:tcBorders>
            <w:vAlign w:val="center"/>
            <w:hideMark/>
          </w:tcPr>
          <w:p w14:paraId="5A18EC41" w14:textId="77777777" w:rsidR="005508F0" w:rsidRDefault="005508F0">
            <w:pPr>
              <w:pStyle w:val="TextTabulkyRespect"/>
              <w:suppressAutoHyphens/>
              <w:spacing w:line="320" w:lineRule="atLeast"/>
              <w:jc w:val="right"/>
              <w:rPr>
                <w:szCs w:val="20"/>
              </w:rPr>
            </w:pPr>
            <w:r>
              <w:rPr>
                <w:szCs w:val="20"/>
              </w:rPr>
              <w:t>5.000.000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7DA59AAA" w14:textId="77777777" w:rsidR="00E90365" w:rsidRDefault="00E90365" w:rsidP="00E90365">
            <w:pPr>
              <w:pStyle w:val="TextTabulkyRespect"/>
              <w:suppressAutoHyphens/>
              <w:spacing w:line="320" w:lineRule="atLeast"/>
              <w:jc w:val="right"/>
              <w:rPr>
                <w:szCs w:val="20"/>
              </w:rPr>
            </w:pPr>
            <w:r w:rsidRPr="001B638A">
              <w:rPr>
                <w:szCs w:val="20"/>
              </w:rPr>
              <w:t>250.000</w:t>
            </w:r>
          </w:p>
          <w:p w14:paraId="552B6956" w14:textId="77777777" w:rsidR="00E90365" w:rsidRDefault="00E90365" w:rsidP="00E90365">
            <w:pPr>
              <w:pStyle w:val="TextTabulkyRespect"/>
              <w:suppressAutoHyphens/>
              <w:spacing w:line="320" w:lineRule="atLeast"/>
              <w:jc w:val="right"/>
              <w:rPr>
                <w:szCs w:val="20"/>
              </w:rPr>
            </w:pPr>
          </w:p>
          <w:p w14:paraId="092C6B35" w14:textId="23BA1806" w:rsidR="005508F0" w:rsidRDefault="00E90365" w:rsidP="00E90365">
            <w:pPr>
              <w:pStyle w:val="TextTabulkyRespect"/>
              <w:suppressAutoHyphens/>
              <w:spacing w:line="320" w:lineRule="atLeast"/>
              <w:jc w:val="right"/>
              <w:rPr>
                <w:szCs w:val="20"/>
              </w:rPr>
            </w:pPr>
            <w:r>
              <w:rPr>
                <w:szCs w:val="20"/>
              </w:rPr>
              <w:t xml:space="preserve">Pro obor gynekologie-porodnictví a neonatologie </w:t>
            </w:r>
            <w:proofErr w:type="gramStart"/>
            <w:r>
              <w:rPr>
                <w:szCs w:val="20"/>
              </w:rPr>
              <w:t>10%</w:t>
            </w:r>
            <w:proofErr w:type="gramEnd"/>
            <w:r>
              <w:rPr>
                <w:szCs w:val="20"/>
              </w:rPr>
              <w:t xml:space="preserve"> min. 500.000</w:t>
            </w:r>
          </w:p>
        </w:tc>
      </w:tr>
      <w:tr w:rsidR="005508F0" w14:paraId="48EB5F89" w14:textId="77777777" w:rsidTr="001B638A">
        <w:trPr>
          <w:trHeight w:val="1228"/>
        </w:trPr>
        <w:tc>
          <w:tcPr>
            <w:tcW w:w="376" w:type="pct"/>
            <w:tcBorders>
              <w:top w:val="single" w:sz="6" w:space="0" w:color="auto"/>
              <w:left w:val="single" w:sz="12" w:space="0" w:color="auto"/>
              <w:bottom w:val="single" w:sz="6" w:space="0" w:color="auto"/>
              <w:right w:val="single" w:sz="6" w:space="0" w:color="auto"/>
            </w:tcBorders>
          </w:tcPr>
          <w:p w14:paraId="57FBD64B" w14:textId="77777777" w:rsidR="005508F0" w:rsidRDefault="00672CBD">
            <w:pPr>
              <w:pStyle w:val="TextTabulkyRespect"/>
              <w:suppressAutoHyphens/>
              <w:spacing w:line="320" w:lineRule="atLeast"/>
              <w:jc w:val="left"/>
            </w:pPr>
            <w:r>
              <w:lastRenderedPageBreak/>
              <w:t>13</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7358CD24" w14:textId="77777777" w:rsidR="005508F0" w:rsidRDefault="005508F0">
            <w:pPr>
              <w:pStyle w:val="TextTabulkyRespect"/>
              <w:suppressAutoHyphens/>
              <w:spacing w:line="320" w:lineRule="atLeast"/>
              <w:jc w:val="left"/>
              <w:rPr>
                <w:rFonts w:cs="Arial"/>
                <w:szCs w:val="20"/>
              </w:rPr>
            </w:pPr>
            <w:r>
              <w:t>Odpovědnost za újmu způsobenou při ověřování nových poznatků na živé osobě použitím dosud nezavedených metod v klinické praxi a dále způsobenou pojištěným jako zkoušejícím v rámci "klinického hodnocení"</w:t>
            </w:r>
            <w:r>
              <w:rPr>
                <w:rFonts w:cs="Arial"/>
                <w:szCs w:val="20"/>
              </w:rPr>
              <w:t xml:space="preserve"> (nenahrazuje povinné pojištění odpovědnosti zadavatele klinických hodnocení) </w:t>
            </w:r>
          </w:p>
        </w:tc>
        <w:tc>
          <w:tcPr>
            <w:tcW w:w="1030" w:type="pct"/>
            <w:tcBorders>
              <w:top w:val="single" w:sz="6" w:space="0" w:color="auto"/>
              <w:left w:val="single" w:sz="6" w:space="0" w:color="auto"/>
              <w:bottom w:val="single" w:sz="6" w:space="0" w:color="auto"/>
              <w:right w:val="single" w:sz="6" w:space="0" w:color="auto"/>
            </w:tcBorders>
            <w:vAlign w:val="center"/>
            <w:hideMark/>
          </w:tcPr>
          <w:p w14:paraId="30C2CC60" w14:textId="4B9F60BB" w:rsidR="00290C65" w:rsidRPr="00847BF4" w:rsidRDefault="00290C65" w:rsidP="00106CD2">
            <w:pPr>
              <w:pStyle w:val="TextTabulkyRespect"/>
              <w:suppressAutoHyphens/>
              <w:spacing w:line="320" w:lineRule="atLeast"/>
              <w:jc w:val="right"/>
              <w:rPr>
                <w:szCs w:val="20"/>
              </w:rPr>
            </w:pPr>
            <w:r w:rsidRPr="00847BF4">
              <w:rPr>
                <w:szCs w:val="20"/>
              </w:rPr>
              <w:t>5.000.000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7CB1904E" w14:textId="77777777" w:rsidR="00E90365" w:rsidRPr="00847BF4" w:rsidRDefault="00E90365" w:rsidP="00E90365">
            <w:pPr>
              <w:pStyle w:val="TextTabulkyRespect"/>
              <w:suppressAutoHyphens/>
              <w:spacing w:line="320" w:lineRule="atLeast"/>
              <w:jc w:val="right"/>
              <w:rPr>
                <w:szCs w:val="20"/>
              </w:rPr>
            </w:pPr>
            <w:r w:rsidRPr="00847BF4">
              <w:rPr>
                <w:szCs w:val="20"/>
              </w:rPr>
              <w:t>250.000</w:t>
            </w:r>
          </w:p>
          <w:p w14:paraId="42F9FA9E" w14:textId="77777777" w:rsidR="00E90365" w:rsidRPr="00847BF4" w:rsidRDefault="00E90365" w:rsidP="00E90365">
            <w:pPr>
              <w:pStyle w:val="TextTabulkyRespect"/>
              <w:suppressAutoHyphens/>
              <w:spacing w:line="320" w:lineRule="atLeast"/>
              <w:jc w:val="right"/>
              <w:rPr>
                <w:szCs w:val="20"/>
              </w:rPr>
            </w:pPr>
          </w:p>
          <w:p w14:paraId="3C2740BD" w14:textId="35385A7F" w:rsidR="005508F0" w:rsidRPr="00847BF4" w:rsidRDefault="00E90365" w:rsidP="00E90365">
            <w:pPr>
              <w:pStyle w:val="TextTabulkyRespect"/>
              <w:suppressAutoHyphens/>
              <w:spacing w:line="320" w:lineRule="atLeast"/>
              <w:jc w:val="right"/>
              <w:rPr>
                <w:szCs w:val="20"/>
              </w:rPr>
            </w:pPr>
            <w:r w:rsidRPr="00847BF4">
              <w:rPr>
                <w:szCs w:val="20"/>
              </w:rPr>
              <w:t xml:space="preserve">Pro obor gynekologie-porodnictví a neonatologie </w:t>
            </w:r>
            <w:proofErr w:type="gramStart"/>
            <w:r w:rsidRPr="00847BF4">
              <w:rPr>
                <w:szCs w:val="20"/>
              </w:rPr>
              <w:t>10%</w:t>
            </w:r>
            <w:proofErr w:type="gramEnd"/>
            <w:r w:rsidRPr="00847BF4">
              <w:rPr>
                <w:szCs w:val="20"/>
              </w:rPr>
              <w:t xml:space="preserve"> min. 500.000</w:t>
            </w:r>
          </w:p>
        </w:tc>
      </w:tr>
      <w:tr w:rsidR="005508F0" w14:paraId="14E230B1"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08BCF28D" w14:textId="77777777" w:rsidR="005508F0" w:rsidRDefault="00672CBD" w:rsidP="00106CD2">
            <w:pPr>
              <w:pStyle w:val="TextTabulkyRespect"/>
              <w:suppressAutoHyphens/>
              <w:spacing w:line="320" w:lineRule="atLeast"/>
              <w:jc w:val="left"/>
              <w:rPr>
                <w:rFonts w:cs="Arial"/>
                <w:szCs w:val="20"/>
              </w:rPr>
            </w:pPr>
            <w:r>
              <w:rPr>
                <w:rFonts w:cs="Arial"/>
                <w:szCs w:val="20"/>
              </w:rPr>
              <w:t>1</w:t>
            </w:r>
            <w:r w:rsidR="00106CD2">
              <w:rPr>
                <w:rFonts w:cs="Arial"/>
                <w:szCs w:val="20"/>
              </w:rPr>
              <w:t>4</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53B1AE4A" w14:textId="77777777" w:rsidR="005508F0" w:rsidRDefault="005508F0">
            <w:pPr>
              <w:pStyle w:val="TextTabulkyRespect"/>
              <w:suppressAutoHyphens/>
              <w:spacing w:line="320" w:lineRule="atLeast"/>
              <w:jc w:val="left"/>
              <w:rPr>
                <w:rFonts w:cs="Arial"/>
                <w:szCs w:val="20"/>
              </w:rPr>
            </w:pPr>
            <w:r>
              <w:rPr>
                <w:rFonts w:cs="Arial"/>
                <w:szCs w:val="20"/>
              </w:rPr>
              <w:t>Újma způsobená magnetickými nebo elektromagnetickými poli</w:t>
            </w:r>
          </w:p>
        </w:tc>
        <w:tc>
          <w:tcPr>
            <w:tcW w:w="1030" w:type="pct"/>
            <w:tcBorders>
              <w:top w:val="single" w:sz="6" w:space="0" w:color="auto"/>
              <w:left w:val="single" w:sz="6" w:space="0" w:color="auto"/>
              <w:bottom w:val="single" w:sz="6" w:space="0" w:color="auto"/>
              <w:right w:val="single" w:sz="6" w:space="0" w:color="auto"/>
            </w:tcBorders>
            <w:vAlign w:val="center"/>
            <w:hideMark/>
          </w:tcPr>
          <w:p w14:paraId="62782705" w14:textId="77777777" w:rsidR="005508F0" w:rsidRDefault="005508F0">
            <w:pPr>
              <w:pStyle w:val="TextTabulkyRespect"/>
              <w:suppressAutoHyphens/>
              <w:spacing w:line="320" w:lineRule="atLeast"/>
              <w:jc w:val="right"/>
              <w:rPr>
                <w:szCs w:val="20"/>
              </w:rPr>
            </w:pPr>
            <w:r>
              <w:rPr>
                <w:szCs w:val="20"/>
              </w:rPr>
              <w:t>10.000.000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5AAC4E47" w14:textId="77777777" w:rsidR="00E90365" w:rsidRDefault="00E90365" w:rsidP="00E90365">
            <w:pPr>
              <w:pStyle w:val="TextTabulkyRespect"/>
              <w:suppressAutoHyphens/>
              <w:spacing w:line="320" w:lineRule="atLeast"/>
              <w:jc w:val="right"/>
              <w:rPr>
                <w:szCs w:val="20"/>
              </w:rPr>
            </w:pPr>
            <w:r w:rsidRPr="001B638A">
              <w:rPr>
                <w:szCs w:val="20"/>
              </w:rPr>
              <w:t>250.000</w:t>
            </w:r>
          </w:p>
          <w:p w14:paraId="1F43CF37" w14:textId="77777777" w:rsidR="00E90365" w:rsidRDefault="00E90365" w:rsidP="00E90365">
            <w:pPr>
              <w:pStyle w:val="TextTabulkyRespect"/>
              <w:suppressAutoHyphens/>
              <w:spacing w:line="320" w:lineRule="atLeast"/>
              <w:jc w:val="right"/>
              <w:rPr>
                <w:szCs w:val="20"/>
              </w:rPr>
            </w:pPr>
          </w:p>
          <w:p w14:paraId="367DD85D" w14:textId="6195CB39" w:rsidR="005508F0" w:rsidRDefault="00E90365" w:rsidP="00E90365">
            <w:pPr>
              <w:pStyle w:val="TextTabulkyRespect"/>
              <w:suppressAutoHyphens/>
              <w:spacing w:line="320" w:lineRule="atLeast"/>
              <w:jc w:val="right"/>
              <w:rPr>
                <w:szCs w:val="20"/>
              </w:rPr>
            </w:pPr>
            <w:r>
              <w:rPr>
                <w:szCs w:val="20"/>
              </w:rPr>
              <w:t xml:space="preserve">Pro obor gynekologie-porodnictví a neonatologie </w:t>
            </w:r>
            <w:proofErr w:type="gramStart"/>
            <w:r>
              <w:rPr>
                <w:szCs w:val="20"/>
              </w:rPr>
              <w:t>10%</w:t>
            </w:r>
            <w:proofErr w:type="gramEnd"/>
            <w:r>
              <w:rPr>
                <w:szCs w:val="20"/>
              </w:rPr>
              <w:t xml:space="preserve"> min. 500.000</w:t>
            </w:r>
          </w:p>
        </w:tc>
      </w:tr>
      <w:tr w:rsidR="005508F0" w14:paraId="2B7D3C47" w14:textId="77777777" w:rsidTr="00106CD2">
        <w:trPr>
          <w:trHeight w:val="409"/>
        </w:trPr>
        <w:tc>
          <w:tcPr>
            <w:tcW w:w="376" w:type="pct"/>
            <w:tcBorders>
              <w:top w:val="single" w:sz="6" w:space="0" w:color="auto"/>
              <w:left w:val="single" w:sz="12" w:space="0" w:color="auto"/>
              <w:bottom w:val="single" w:sz="6" w:space="0" w:color="auto"/>
              <w:right w:val="single" w:sz="6" w:space="0" w:color="auto"/>
            </w:tcBorders>
          </w:tcPr>
          <w:p w14:paraId="4472C606" w14:textId="77777777" w:rsidR="005508F0" w:rsidRDefault="00672CBD" w:rsidP="00106CD2">
            <w:pPr>
              <w:pStyle w:val="TextTabulkyRespect"/>
              <w:suppressAutoHyphens/>
              <w:spacing w:line="320" w:lineRule="atLeast"/>
              <w:jc w:val="left"/>
              <w:rPr>
                <w:rFonts w:cs="Arial"/>
                <w:szCs w:val="20"/>
              </w:rPr>
            </w:pPr>
            <w:r>
              <w:rPr>
                <w:rFonts w:cs="Arial"/>
                <w:szCs w:val="20"/>
              </w:rPr>
              <w:t>1</w:t>
            </w:r>
            <w:r w:rsidR="00106CD2">
              <w:rPr>
                <w:rFonts w:cs="Arial"/>
                <w:szCs w:val="20"/>
              </w:rPr>
              <w:t>5</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0223B837" w14:textId="77777777" w:rsidR="005508F0" w:rsidRPr="00106CD2" w:rsidRDefault="005508F0">
            <w:pPr>
              <w:pStyle w:val="TextTabulkyRespect"/>
              <w:suppressAutoHyphens/>
              <w:spacing w:line="320" w:lineRule="atLeast"/>
              <w:jc w:val="left"/>
              <w:rPr>
                <w:rFonts w:cs="Arial"/>
                <w:szCs w:val="20"/>
              </w:rPr>
            </w:pPr>
            <w:r w:rsidRPr="00106CD2">
              <w:rPr>
                <w:rFonts w:cs="Arial"/>
                <w:szCs w:val="20"/>
              </w:rPr>
              <w:t xml:space="preserve">Újma vyplývající z působení jaderné energie nebo zářením </w:t>
            </w:r>
            <w:r w:rsidRPr="00106CD2">
              <w:t>všeho druhu a radioaktivní kontaminací</w:t>
            </w:r>
          </w:p>
        </w:tc>
        <w:tc>
          <w:tcPr>
            <w:tcW w:w="1030" w:type="pct"/>
            <w:tcBorders>
              <w:top w:val="single" w:sz="6" w:space="0" w:color="auto"/>
              <w:left w:val="single" w:sz="6" w:space="0" w:color="auto"/>
              <w:bottom w:val="single" w:sz="6" w:space="0" w:color="auto"/>
              <w:right w:val="single" w:sz="6" w:space="0" w:color="auto"/>
            </w:tcBorders>
            <w:vAlign w:val="center"/>
            <w:hideMark/>
          </w:tcPr>
          <w:p w14:paraId="2F5EB5E7" w14:textId="77777777" w:rsidR="005508F0" w:rsidRPr="00106CD2" w:rsidRDefault="005508F0">
            <w:pPr>
              <w:pStyle w:val="TextTabulkyRespect"/>
              <w:suppressAutoHyphens/>
              <w:spacing w:line="320" w:lineRule="atLeast"/>
              <w:jc w:val="right"/>
              <w:rPr>
                <w:szCs w:val="20"/>
              </w:rPr>
            </w:pPr>
            <w:r w:rsidRPr="00106CD2">
              <w:rPr>
                <w:szCs w:val="20"/>
              </w:rPr>
              <w:t>10.000.000</w:t>
            </w:r>
          </w:p>
        </w:tc>
        <w:tc>
          <w:tcPr>
            <w:tcW w:w="1386" w:type="pct"/>
            <w:tcBorders>
              <w:top w:val="single" w:sz="6" w:space="0" w:color="auto"/>
              <w:left w:val="single" w:sz="6" w:space="0" w:color="auto"/>
              <w:bottom w:val="single" w:sz="6" w:space="0" w:color="auto"/>
              <w:right w:val="single" w:sz="12" w:space="0" w:color="auto"/>
            </w:tcBorders>
            <w:vAlign w:val="center"/>
          </w:tcPr>
          <w:p w14:paraId="33C671CD" w14:textId="77777777" w:rsidR="00E90365" w:rsidRDefault="00E90365" w:rsidP="00E90365">
            <w:pPr>
              <w:pStyle w:val="TextTabulkyRespect"/>
              <w:suppressAutoHyphens/>
              <w:spacing w:line="320" w:lineRule="atLeast"/>
              <w:jc w:val="right"/>
              <w:rPr>
                <w:szCs w:val="20"/>
              </w:rPr>
            </w:pPr>
            <w:r w:rsidRPr="001B638A">
              <w:rPr>
                <w:szCs w:val="20"/>
              </w:rPr>
              <w:t>250.000</w:t>
            </w:r>
          </w:p>
          <w:p w14:paraId="5F08A12F" w14:textId="77777777" w:rsidR="00E90365" w:rsidRDefault="00E90365" w:rsidP="00E90365">
            <w:pPr>
              <w:pStyle w:val="TextTabulkyRespect"/>
              <w:suppressAutoHyphens/>
              <w:spacing w:line="320" w:lineRule="atLeast"/>
              <w:jc w:val="right"/>
              <w:rPr>
                <w:szCs w:val="20"/>
              </w:rPr>
            </w:pPr>
          </w:p>
          <w:p w14:paraId="5F7520EE" w14:textId="4AA233E1" w:rsidR="005508F0" w:rsidRPr="00106CD2" w:rsidRDefault="00E90365" w:rsidP="00E90365">
            <w:pPr>
              <w:pStyle w:val="TextTabulkyRespect"/>
              <w:suppressAutoHyphens/>
              <w:spacing w:line="320" w:lineRule="atLeast"/>
              <w:jc w:val="right"/>
              <w:rPr>
                <w:szCs w:val="20"/>
              </w:rPr>
            </w:pPr>
            <w:r>
              <w:rPr>
                <w:szCs w:val="20"/>
              </w:rPr>
              <w:t xml:space="preserve">Pro obor gynekologie-porodnictví a neonatologie </w:t>
            </w:r>
            <w:proofErr w:type="gramStart"/>
            <w:r>
              <w:rPr>
                <w:szCs w:val="20"/>
              </w:rPr>
              <w:t>10%</w:t>
            </w:r>
            <w:proofErr w:type="gramEnd"/>
            <w:r>
              <w:rPr>
                <w:szCs w:val="20"/>
              </w:rPr>
              <w:t xml:space="preserve"> min. 500.000</w:t>
            </w:r>
          </w:p>
        </w:tc>
      </w:tr>
      <w:tr w:rsidR="005508F0" w14:paraId="2E4F283E"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7E7E4642" w14:textId="77777777" w:rsidR="005508F0" w:rsidRDefault="00672CBD" w:rsidP="00106CD2">
            <w:pPr>
              <w:pStyle w:val="TextTabulkyRespect"/>
              <w:suppressAutoHyphens/>
              <w:spacing w:line="320" w:lineRule="atLeast"/>
              <w:jc w:val="left"/>
              <w:rPr>
                <w:rFonts w:cs="Arial"/>
                <w:szCs w:val="20"/>
              </w:rPr>
            </w:pPr>
            <w:r>
              <w:rPr>
                <w:rFonts w:cs="Arial"/>
                <w:szCs w:val="20"/>
              </w:rPr>
              <w:t>1</w:t>
            </w:r>
            <w:r w:rsidR="00106CD2">
              <w:rPr>
                <w:rFonts w:cs="Arial"/>
                <w:szCs w:val="20"/>
              </w:rPr>
              <w:t>6</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4D5A4358" w14:textId="77777777" w:rsidR="005508F0" w:rsidRPr="00106CD2" w:rsidRDefault="005508F0">
            <w:pPr>
              <w:pStyle w:val="TextTabulkyRespect"/>
              <w:suppressAutoHyphens/>
              <w:spacing w:line="320" w:lineRule="atLeast"/>
              <w:jc w:val="left"/>
              <w:rPr>
                <w:rFonts w:cs="Arial"/>
                <w:szCs w:val="20"/>
              </w:rPr>
            </w:pPr>
            <w:r w:rsidRPr="00106CD2">
              <w:rPr>
                <w:rFonts w:cs="Arial"/>
                <w:szCs w:val="20"/>
              </w:rPr>
              <w:t>Odpovědnost za újmu způsobenou vadou výrobku</w:t>
            </w:r>
            <w:r w:rsidRPr="00106CD2">
              <w:rPr>
                <w:rFonts w:cs="Arial"/>
                <w:szCs w:val="20"/>
              </w:rPr>
              <w:tab/>
              <w:t xml:space="preserve"> se vztahuje také na látky zcela nebo částečně pocházející z lidského těla nebo z těchto látek získané deriváty nebo biosyntetické výrobky, včetně spojení/smísení</w:t>
            </w:r>
          </w:p>
        </w:tc>
        <w:tc>
          <w:tcPr>
            <w:tcW w:w="1030" w:type="pct"/>
            <w:tcBorders>
              <w:top w:val="single" w:sz="6" w:space="0" w:color="auto"/>
              <w:left w:val="single" w:sz="6" w:space="0" w:color="auto"/>
              <w:bottom w:val="single" w:sz="6" w:space="0" w:color="auto"/>
              <w:right w:val="single" w:sz="6" w:space="0" w:color="auto"/>
            </w:tcBorders>
            <w:vAlign w:val="center"/>
            <w:hideMark/>
          </w:tcPr>
          <w:p w14:paraId="1AD65A11" w14:textId="77777777" w:rsidR="005508F0" w:rsidRPr="00106CD2" w:rsidRDefault="00106CD2">
            <w:pPr>
              <w:pStyle w:val="TextTabulkyRespect"/>
              <w:suppressAutoHyphens/>
              <w:spacing w:line="320" w:lineRule="atLeast"/>
              <w:jc w:val="right"/>
              <w:rPr>
                <w:szCs w:val="20"/>
              </w:rPr>
            </w:pPr>
            <w:r>
              <w:rPr>
                <w:szCs w:val="20"/>
              </w:rPr>
              <w:t>5</w:t>
            </w:r>
            <w:r w:rsidR="005508F0" w:rsidRPr="00106CD2">
              <w:rPr>
                <w:szCs w:val="20"/>
              </w:rPr>
              <w:t>.000.000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4F32AD3B" w14:textId="77777777" w:rsidR="00E90365" w:rsidRDefault="00E90365" w:rsidP="00E90365">
            <w:pPr>
              <w:pStyle w:val="TextTabulkyRespect"/>
              <w:suppressAutoHyphens/>
              <w:spacing w:line="320" w:lineRule="atLeast"/>
              <w:jc w:val="right"/>
              <w:rPr>
                <w:szCs w:val="20"/>
              </w:rPr>
            </w:pPr>
            <w:r w:rsidRPr="001B638A">
              <w:rPr>
                <w:szCs w:val="20"/>
              </w:rPr>
              <w:t>250.000</w:t>
            </w:r>
          </w:p>
          <w:p w14:paraId="662C973C" w14:textId="77777777" w:rsidR="00E90365" w:rsidRDefault="00E90365" w:rsidP="00E90365">
            <w:pPr>
              <w:pStyle w:val="TextTabulkyRespect"/>
              <w:suppressAutoHyphens/>
              <w:spacing w:line="320" w:lineRule="atLeast"/>
              <w:jc w:val="right"/>
              <w:rPr>
                <w:szCs w:val="20"/>
              </w:rPr>
            </w:pPr>
          </w:p>
          <w:p w14:paraId="2C4A0283" w14:textId="4BAD2756" w:rsidR="005508F0" w:rsidRPr="00106CD2" w:rsidRDefault="00E90365" w:rsidP="00E90365">
            <w:pPr>
              <w:pStyle w:val="TextTabulkyRespect"/>
              <w:suppressAutoHyphens/>
              <w:spacing w:line="320" w:lineRule="atLeast"/>
              <w:jc w:val="right"/>
              <w:rPr>
                <w:szCs w:val="20"/>
              </w:rPr>
            </w:pPr>
            <w:r>
              <w:rPr>
                <w:szCs w:val="20"/>
              </w:rPr>
              <w:t xml:space="preserve">Pro obor gynekologie-porodnictví a neonatologie </w:t>
            </w:r>
            <w:proofErr w:type="gramStart"/>
            <w:r>
              <w:rPr>
                <w:szCs w:val="20"/>
              </w:rPr>
              <w:t>10%</w:t>
            </w:r>
            <w:proofErr w:type="gramEnd"/>
            <w:r>
              <w:rPr>
                <w:szCs w:val="20"/>
              </w:rPr>
              <w:t xml:space="preserve"> min. 500.000</w:t>
            </w:r>
          </w:p>
        </w:tc>
      </w:tr>
      <w:tr w:rsidR="005508F0" w14:paraId="6063344E"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2DC7A565" w14:textId="77777777" w:rsidR="005508F0" w:rsidRDefault="00672CBD" w:rsidP="00106CD2">
            <w:pPr>
              <w:pStyle w:val="TextTabulkyRespect"/>
              <w:suppressAutoHyphens/>
              <w:spacing w:line="320" w:lineRule="atLeast"/>
              <w:jc w:val="left"/>
              <w:rPr>
                <w:rFonts w:cs="Arial"/>
                <w:szCs w:val="20"/>
              </w:rPr>
            </w:pPr>
            <w:r>
              <w:rPr>
                <w:rFonts w:cs="Arial"/>
                <w:szCs w:val="20"/>
              </w:rPr>
              <w:t>1</w:t>
            </w:r>
            <w:r w:rsidR="00106CD2">
              <w:rPr>
                <w:rFonts w:cs="Arial"/>
                <w:szCs w:val="20"/>
              </w:rPr>
              <w:t>7</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5F20E97C" w14:textId="77777777" w:rsidR="005508F0" w:rsidRPr="00106CD2" w:rsidRDefault="005508F0">
            <w:pPr>
              <w:pStyle w:val="TextTabulkyRespect"/>
              <w:suppressAutoHyphens/>
              <w:spacing w:line="320" w:lineRule="atLeast"/>
              <w:jc w:val="left"/>
              <w:rPr>
                <w:rFonts w:cs="Arial"/>
                <w:szCs w:val="20"/>
              </w:rPr>
            </w:pPr>
            <w:r w:rsidRPr="00106CD2">
              <w:rPr>
                <w:rFonts w:cs="Arial"/>
                <w:szCs w:val="20"/>
              </w:rPr>
              <w:t>Újmy způsobené zavlečením nebo rozšířením nakažlivé choroby lidí, zvířat a rostlin</w:t>
            </w:r>
          </w:p>
        </w:tc>
        <w:tc>
          <w:tcPr>
            <w:tcW w:w="1030" w:type="pct"/>
            <w:tcBorders>
              <w:top w:val="single" w:sz="6" w:space="0" w:color="auto"/>
              <w:left w:val="single" w:sz="6" w:space="0" w:color="auto"/>
              <w:bottom w:val="single" w:sz="6" w:space="0" w:color="auto"/>
              <w:right w:val="single" w:sz="6" w:space="0" w:color="auto"/>
            </w:tcBorders>
            <w:vAlign w:val="center"/>
            <w:hideMark/>
          </w:tcPr>
          <w:p w14:paraId="0CAA1311" w14:textId="77777777" w:rsidR="005508F0" w:rsidRPr="00106CD2" w:rsidRDefault="005508F0">
            <w:pPr>
              <w:pStyle w:val="TextTabulkyRespect"/>
              <w:suppressAutoHyphens/>
              <w:spacing w:line="320" w:lineRule="atLeast"/>
              <w:jc w:val="right"/>
              <w:rPr>
                <w:szCs w:val="20"/>
              </w:rPr>
            </w:pPr>
            <w:r w:rsidRPr="00106CD2">
              <w:rPr>
                <w:szCs w:val="20"/>
              </w:rPr>
              <w:t>10.000.000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59C7CE7A" w14:textId="77777777" w:rsidR="00E90365" w:rsidRDefault="00E90365" w:rsidP="00E90365">
            <w:pPr>
              <w:pStyle w:val="TextTabulkyRespect"/>
              <w:suppressAutoHyphens/>
              <w:spacing w:line="320" w:lineRule="atLeast"/>
              <w:jc w:val="right"/>
              <w:rPr>
                <w:szCs w:val="20"/>
              </w:rPr>
            </w:pPr>
            <w:r w:rsidRPr="001B638A">
              <w:rPr>
                <w:szCs w:val="20"/>
              </w:rPr>
              <w:t>250.000</w:t>
            </w:r>
          </w:p>
          <w:p w14:paraId="614914EF" w14:textId="77777777" w:rsidR="00E90365" w:rsidRDefault="00E90365" w:rsidP="00E90365">
            <w:pPr>
              <w:pStyle w:val="TextTabulkyRespect"/>
              <w:suppressAutoHyphens/>
              <w:spacing w:line="320" w:lineRule="atLeast"/>
              <w:jc w:val="right"/>
              <w:rPr>
                <w:szCs w:val="20"/>
              </w:rPr>
            </w:pPr>
          </w:p>
          <w:p w14:paraId="73AA1E8E" w14:textId="4CCAFDF6" w:rsidR="005508F0" w:rsidRPr="00106CD2" w:rsidRDefault="00E90365" w:rsidP="00E90365">
            <w:pPr>
              <w:pStyle w:val="TextTabulkyRespect"/>
              <w:suppressAutoHyphens/>
              <w:spacing w:line="320" w:lineRule="atLeast"/>
              <w:jc w:val="right"/>
              <w:rPr>
                <w:szCs w:val="20"/>
              </w:rPr>
            </w:pPr>
            <w:r>
              <w:rPr>
                <w:szCs w:val="20"/>
              </w:rPr>
              <w:t xml:space="preserve">Pro obor gynekologie-porodnictví a neonatologie </w:t>
            </w:r>
            <w:proofErr w:type="gramStart"/>
            <w:r>
              <w:rPr>
                <w:szCs w:val="20"/>
              </w:rPr>
              <w:t>10%</w:t>
            </w:r>
            <w:proofErr w:type="gramEnd"/>
            <w:r>
              <w:rPr>
                <w:szCs w:val="20"/>
              </w:rPr>
              <w:t xml:space="preserve"> min. 500.000</w:t>
            </w:r>
          </w:p>
        </w:tc>
      </w:tr>
      <w:tr w:rsidR="005508F0" w14:paraId="001C1C9D"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58DA84F4" w14:textId="77777777" w:rsidR="005508F0" w:rsidRDefault="00672CBD" w:rsidP="00106CD2">
            <w:pPr>
              <w:pStyle w:val="TextTabulkyRespect"/>
              <w:suppressAutoHyphens/>
              <w:spacing w:line="320" w:lineRule="atLeast"/>
              <w:jc w:val="left"/>
              <w:rPr>
                <w:rFonts w:cs="Arial"/>
                <w:szCs w:val="20"/>
              </w:rPr>
            </w:pPr>
            <w:r>
              <w:rPr>
                <w:rFonts w:cs="Arial"/>
                <w:szCs w:val="20"/>
              </w:rPr>
              <w:t>1</w:t>
            </w:r>
            <w:r w:rsidR="00106CD2">
              <w:rPr>
                <w:rFonts w:cs="Arial"/>
                <w:szCs w:val="20"/>
              </w:rPr>
              <w:t>8</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522B5EB4" w14:textId="77777777" w:rsidR="005508F0" w:rsidRDefault="005508F0">
            <w:pPr>
              <w:pStyle w:val="TextTabulkyRespect"/>
              <w:suppressAutoHyphens/>
              <w:spacing w:line="320" w:lineRule="atLeast"/>
              <w:jc w:val="left"/>
              <w:rPr>
                <w:rFonts w:cs="Arial"/>
                <w:szCs w:val="20"/>
              </w:rPr>
            </w:pPr>
            <w:r>
              <w:rPr>
                <w:rFonts w:cs="Arial"/>
                <w:szCs w:val="20"/>
              </w:rPr>
              <w:t>Újmy způsobené výkonem plastické nebo kosmetické chirurgie pouze pro estetické účely – tento limit platí pro výkony za přímou finanční úhradu, ostatní je do výše základního limitu</w:t>
            </w:r>
          </w:p>
        </w:tc>
        <w:tc>
          <w:tcPr>
            <w:tcW w:w="1030" w:type="pct"/>
            <w:tcBorders>
              <w:top w:val="single" w:sz="6" w:space="0" w:color="auto"/>
              <w:left w:val="single" w:sz="6" w:space="0" w:color="auto"/>
              <w:bottom w:val="single" w:sz="6" w:space="0" w:color="auto"/>
              <w:right w:val="single" w:sz="6" w:space="0" w:color="auto"/>
            </w:tcBorders>
            <w:vAlign w:val="center"/>
            <w:hideMark/>
          </w:tcPr>
          <w:p w14:paraId="64DD05F7" w14:textId="77777777" w:rsidR="005508F0" w:rsidRDefault="005508F0">
            <w:pPr>
              <w:pStyle w:val="TextTabulkyRespect"/>
              <w:suppressAutoHyphens/>
              <w:spacing w:line="320" w:lineRule="atLeast"/>
              <w:jc w:val="right"/>
              <w:rPr>
                <w:szCs w:val="20"/>
              </w:rPr>
            </w:pPr>
            <w:r>
              <w:rPr>
                <w:szCs w:val="20"/>
              </w:rPr>
              <w:t>15.000.000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652E66B2" w14:textId="77777777" w:rsidR="00E90365" w:rsidRDefault="00E90365" w:rsidP="00E90365">
            <w:pPr>
              <w:pStyle w:val="TextTabulkyRespect"/>
              <w:suppressAutoHyphens/>
              <w:spacing w:line="320" w:lineRule="atLeast"/>
              <w:jc w:val="right"/>
              <w:rPr>
                <w:szCs w:val="20"/>
              </w:rPr>
            </w:pPr>
            <w:r w:rsidRPr="001B638A">
              <w:rPr>
                <w:szCs w:val="20"/>
              </w:rPr>
              <w:t>250.000</w:t>
            </w:r>
          </w:p>
          <w:p w14:paraId="4026A330" w14:textId="77777777" w:rsidR="00E90365" w:rsidRDefault="00E90365" w:rsidP="00E90365">
            <w:pPr>
              <w:pStyle w:val="TextTabulkyRespect"/>
              <w:suppressAutoHyphens/>
              <w:spacing w:line="320" w:lineRule="atLeast"/>
              <w:jc w:val="right"/>
              <w:rPr>
                <w:szCs w:val="20"/>
              </w:rPr>
            </w:pPr>
          </w:p>
          <w:p w14:paraId="0E3AC820" w14:textId="227D998A" w:rsidR="005508F0" w:rsidRDefault="00E90365" w:rsidP="00E90365">
            <w:pPr>
              <w:pStyle w:val="TextTabulkyRespect"/>
              <w:suppressAutoHyphens/>
              <w:spacing w:line="320" w:lineRule="atLeast"/>
              <w:jc w:val="right"/>
              <w:rPr>
                <w:szCs w:val="20"/>
              </w:rPr>
            </w:pPr>
            <w:r>
              <w:rPr>
                <w:szCs w:val="20"/>
              </w:rPr>
              <w:t xml:space="preserve">Pro obor gynekologie-porodnictví a neonatologie </w:t>
            </w:r>
            <w:proofErr w:type="gramStart"/>
            <w:r>
              <w:rPr>
                <w:szCs w:val="20"/>
              </w:rPr>
              <w:t>10%</w:t>
            </w:r>
            <w:proofErr w:type="gramEnd"/>
            <w:r>
              <w:rPr>
                <w:szCs w:val="20"/>
              </w:rPr>
              <w:t xml:space="preserve"> min. 500.000</w:t>
            </w:r>
          </w:p>
        </w:tc>
      </w:tr>
      <w:tr w:rsidR="005508F0" w14:paraId="6EB21441" w14:textId="77777777" w:rsidTr="001B638A">
        <w:trPr>
          <w:trHeight w:val="325"/>
        </w:trPr>
        <w:tc>
          <w:tcPr>
            <w:tcW w:w="376" w:type="pct"/>
            <w:tcBorders>
              <w:top w:val="single" w:sz="6" w:space="0" w:color="auto"/>
              <w:left w:val="single" w:sz="12" w:space="0" w:color="auto"/>
              <w:bottom w:val="single" w:sz="6" w:space="0" w:color="auto"/>
              <w:right w:val="single" w:sz="6" w:space="0" w:color="auto"/>
            </w:tcBorders>
          </w:tcPr>
          <w:p w14:paraId="51827439" w14:textId="77777777" w:rsidR="005508F0" w:rsidRDefault="00106CD2" w:rsidP="00106CD2">
            <w:pPr>
              <w:pStyle w:val="TextTabulkyRespect"/>
              <w:suppressAutoHyphens/>
              <w:spacing w:line="320" w:lineRule="atLeast"/>
              <w:jc w:val="left"/>
              <w:rPr>
                <w:rFonts w:cs="Arial"/>
                <w:szCs w:val="20"/>
              </w:rPr>
            </w:pPr>
            <w:r>
              <w:rPr>
                <w:rFonts w:cs="Arial"/>
                <w:szCs w:val="20"/>
              </w:rPr>
              <w:t>19</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14B18999" w14:textId="77777777" w:rsidR="005508F0" w:rsidRDefault="005508F0">
            <w:pPr>
              <w:pStyle w:val="TextTabulkyRespect"/>
              <w:suppressAutoHyphens/>
              <w:spacing w:line="320" w:lineRule="atLeast"/>
              <w:jc w:val="left"/>
              <w:rPr>
                <w:rFonts w:cs="Arial"/>
                <w:szCs w:val="20"/>
              </w:rPr>
            </w:pPr>
            <w:r>
              <w:rPr>
                <w:rFonts w:cs="Arial"/>
                <w:szCs w:val="20"/>
              </w:rPr>
              <w:t>Újma způsobená provozem pracovního stroje (jedná se pouze o škodu na věci, újma na zdraví do výše základního limitu)</w:t>
            </w:r>
          </w:p>
        </w:tc>
        <w:tc>
          <w:tcPr>
            <w:tcW w:w="1030" w:type="pct"/>
            <w:tcBorders>
              <w:top w:val="single" w:sz="6" w:space="0" w:color="auto"/>
              <w:left w:val="single" w:sz="6" w:space="0" w:color="auto"/>
              <w:bottom w:val="single" w:sz="6" w:space="0" w:color="auto"/>
              <w:right w:val="single" w:sz="6" w:space="0" w:color="auto"/>
            </w:tcBorders>
            <w:vAlign w:val="center"/>
            <w:hideMark/>
          </w:tcPr>
          <w:p w14:paraId="79F8811B" w14:textId="77777777" w:rsidR="005508F0" w:rsidRDefault="005508F0">
            <w:pPr>
              <w:pStyle w:val="TextTabulkyRespect"/>
              <w:suppressAutoHyphens/>
              <w:spacing w:line="320" w:lineRule="atLeast"/>
              <w:jc w:val="right"/>
              <w:rPr>
                <w:szCs w:val="20"/>
              </w:rPr>
            </w:pPr>
            <w:r>
              <w:rPr>
                <w:szCs w:val="20"/>
              </w:rPr>
              <w:t xml:space="preserve"> 500.000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4D7DD06F" w14:textId="77777777" w:rsidR="005508F0" w:rsidRDefault="005508F0">
            <w:pPr>
              <w:pStyle w:val="TextTabulkyRespect"/>
              <w:suppressAutoHyphens/>
              <w:spacing w:line="320" w:lineRule="atLeast"/>
              <w:jc w:val="right"/>
              <w:rPr>
                <w:szCs w:val="20"/>
              </w:rPr>
            </w:pPr>
            <w:r w:rsidRPr="00106CD2">
              <w:rPr>
                <w:szCs w:val="20"/>
              </w:rPr>
              <w:t>1.000</w:t>
            </w:r>
          </w:p>
        </w:tc>
      </w:tr>
      <w:tr w:rsidR="00847BF4" w:rsidRPr="00847BF4" w14:paraId="1968EA44"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40BFEAF6" w14:textId="77777777" w:rsidR="005508F0" w:rsidRDefault="00672CBD" w:rsidP="00106CD2">
            <w:pPr>
              <w:pStyle w:val="TextTabulkyRespect"/>
              <w:suppressAutoHyphens/>
              <w:spacing w:line="320" w:lineRule="atLeast"/>
              <w:jc w:val="left"/>
            </w:pPr>
            <w:r>
              <w:t>2</w:t>
            </w:r>
            <w:r w:rsidR="00106CD2">
              <w:t>0</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1DA5C832" w14:textId="77777777" w:rsidR="005508F0" w:rsidRDefault="005508F0">
            <w:pPr>
              <w:pStyle w:val="TextTabulkyRespect"/>
              <w:suppressAutoHyphens/>
              <w:spacing w:line="320" w:lineRule="atLeast"/>
              <w:jc w:val="left"/>
              <w:rPr>
                <w:rFonts w:cs="Arial"/>
                <w:szCs w:val="20"/>
              </w:rPr>
            </w:pPr>
            <w:r>
              <w:t>Újma způsobená v souvislosti s nakládáním se stlačenými a zkapalněnými plyny</w:t>
            </w:r>
            <w:r w:rsidR="008277A2">
              <w:t xml:space="preserve"> </w:t>
            </w:r>
            <w:r w:rsidR="008277A2" w:rsidRPr="008277A2">
              <w:t>včetně nebezpečných chemických látek</w:t>
            </w:r>
          </w:p>
        </w:tc>
        <w:tc>
          <w:tcPr>
            <w:tcW w:w="1030" w:type="pct"/>
            <w:tcBorders>
              <w:top w:val="single" w:sz="6" w:space="0" w:color="auto"/>
              <w:left w:val="single" w:sz="6" w:space="0" w:color="auto"/>
              <w:bottom w:val="single" w:sz="6" w:space="0" w:color="auto"/>
              <w:right w:val="single" w:sz="6" w:space="0" w:color="auto"/>
            </w:tcBorders>
            <w:vAlign w:val="center"/>
            <w:hideMark/>
          </w:tcPr>
          <w:p w14:paraId="7BFDDE0F" w14:textId="77777777" w:rsidR="005508F0" w:rsidRPr="00847BF4" w:rsidRDefault="005508F0">
            <w:pPr>
              <w:pStyle w:val="TextTabulkyRespect"/>
              <w:suppressAutoHyphens/>
              <w:spacing w:line="320" w:lineRule="atLeast"/>
              <w:jc w:val="right"/>
              <w:rPr>
                <w:szCs w:val="20"/>
              </w:rPr>
            </w:pPr>
            <w:r w:rsidRPr="00847BF4">
              <w:rPr>
                <w:szCs w:val="20"/>
              </w:rPr>
              <w:t>10.000.000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553CD29E" w14:textId="7EBA1588"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06EFC13B"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68EFF7A3" w14:textId="77777777" w:rsidR="005508F0" w:rsidRPr="00847BF4" w:rsidRDefault="00672CBD" w:rsidP="002D71D9">
            <w:pPr>
              <w:pStyle w:val="TextTabulkyRespect"/>
              <w:suppressAutoHyphens/>
              <w:spacing w:line="320" w:lineRule="atLeast"/>
              <w:jc w:val="left"/>
              <w:rPr>
                <w:rFonts w:cs="Arial"/>
                <w:szCs w:val="20"/>
              </w:rPr>
            </w:pPr>
            <w:r w:rsidRPr="00847BF4">
              <w:rPr>
                <w:rFonts w:cs="Arial"/>
                <w:szCs w:val="20"/>
              </w:rPr>
              <w:lastRenderedPageBreak/>
              <w:t>2</w:t>
            </w:r>
            <w:r w:rsidR="002D71D9" w:rsidRPr="00847BF4">
              <w:rPr>
                <w:rFonts w:cs="Arial"/>
                <w:szCs w:val="20"/>
              </w:rPr>
              <w:t>1</w:t>
            </w:r>
          </w:p>
        </w:tc>
        <w:tc>
          <w:tcPr>
            <w:tcW w:w="2208" w:type="pct"/>
            <w:tcBorders>
              <w:top w:val="single" w:sz="6" w:space="0" w:color="auto"/>
              <w:left w:val="single" w:sz="12" w:space="0" w:color="auto"/>
              <w:bottom w:val="single" w:sz="6" w:space="0" w:color="auto"/>
              <w:right w:val="single" w:sz="6" w:space="0" w:color="auto"/>
            </w:tcBorders>
            <w:vAlign w:val="center"/>
            <w:hideMark/>
          </w:tcPr>
          <w:p w14:paraId="58FC0640" w14:textId="77777777" w:rsidR="005508F0" w:rsidRPr="00847BF4" w:rsidRDefault="005508F0">
            <w:pPr>
              <w:pStyle w:val="TextTabulkyRespect"/>
              <w:suppressAutoHyphens/>
              <w:spacing w:line="320" w:lineRule="atLeast"/>
              <w:jc w:val="left"/>
              <w:rPr>
                <w:rFonts w:cs="Arial"/>
                <w:szCs w:val="20"/>
              </w:rPr>
            </w:pPr>
            <w:r w:rsidRPr="00847BF4">
              <w:rPr>
                <w:rFonts w:cs="Arial"/>
                <w:szCs w:val="20"/>
              </w:rPr>
              <w:t>Újma v souvislosti s odpady, které vznikají při provozu zdravotnického zařízení</w:t>
            </w:r>
          </w:p>
        </w:tc>
        <w:tc>
          <w:tcPr>
            <w:tcW w:w="1030" w:type="pct"/>
            <w:tcBorders>
              <w:top w:val="single" w:sz="6" w:space="0" w:color="auto"/>
              <w:left w:val="single" w:sz="6" w:space="0" w:color="auto"/>
              <w:bottom w:val="single" w:sz="6" w:space="0" w:color="auto"/>
              <w:right w:val="single" w:sz="6" w:space="0" w:color="auto"/>
            </w:tcBorders>
            <w:vAlign w:val="center"/>
            <w:hideMark/>
          </w:tcPr>
          <w:p w14:paraId="57889D84" w14:textId="77777777" w:rsidR="005508F0" w:rsidRPr="00847BF4" w:rsidRDefault="005508F0">
            <w:pPr>
              <w:pStyle w:val="TextTabulkyRespect"/>
              <w:suppressAutoHyphens/>
              <w:spacing w:line="320" w:lineRule="atLeast"/>
              <w:jc w:val="right"/>
              <w:rPr>
                <w:szCs w:val="20"/>
              </w:rPr>
            </w:pPr>
            <w:r w:rsidRPr="00847BF4">
              <w:rPr>
                <w:szCs w:val="20"/>
              </w:rPr>
              <w:t>10.000.000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2F0FA9BF" w14:textId="43D90A40"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437423E8" w14:textId="77777777" w:rsidTr="00484441">
        <w:trPr>
          <w:trHeight w:val="409"/>
        </w:trPr>
        <w:tc>
          <w:tcPr>
            <w:tcW w:w="376" w:type="pct"/>
            <w:tcBorders>
              <w:top w:val="single" w:sz="6" w:space="0" w:color="auto"/>
              <w:left w:val="single" w:sz="12" w:space="0" w:color="auto"/>
              <w:bottom w:val="single" w:sz="6" w:space="0" w:color="auto"/>
              <w:right w:val="single" w:sz="6" w:space="0" w:color="auto"/>
            </w:tcBorders>
          </w:tcPr>
          <w:p w14:paraId="36D4BACB" w14:textId="77777777" w:rsidR="005508F0" w:rsidRPr="00847BF4" w:rsidRDefault="00672CBD" w:rsidP="002D71D9">
            <w:pPr>
              <w:pStyle w:val="TableTextEV"/>
              <w:spacing w:line="276" w:lineRule="auto"/>
              <w:rPr>
                <w:rFonts w:eastAsia="Arial"/>
                <w:sz w:val="20"/>
              </w:rPr>
            </w:pPr>
            <w:r w:rsidRPr="00847BF4">
              <w:rPr>
                <w:rFonts w:eastAsia="Arial"/>
                <w:sz w:val="20"/>
              </w:rPr>
              <w:t>2</w:t>
            </w:r>
            <w:r w:rsidR="002D71D9" w:rsidRPr="00847BF4">
              <w:rPr>
                <w:rFonts w:eastAsia="Arial"/>
                <w:sz w:val="20"/>
              </w:rPr>
              <w:t>2</w:t>
            </w:r>
          </w:p>
        </w:tc>
        <w:tc>
          <w:tcPr>
            <w:tcW w:w="2208" w:type="pct"/>
            <w:tcBorders>
              <w:top w:val="single" w:sz="6" w:space="0" w:color="auto"/>
              <w:left w:val="single" w:sz="12" w:space="0" w:color="auto"/>
              <w:bottom w:val="single" w:sz="6" w:space="0" w:color="auto"/>
              <w:right w:val="single" w:sz="6" w:space="0" w:color="auto"/>
            </w:tcBorders>
            <w:hideMark/>
          </w:tcPr>
          <w:p w14:paraId="1A0EC6BB" w14:textId="77777777" w:rsidR="005508F0" w:rsidRPr="00847BF4" w:rsidRDefault="005508F0" w:rsidP="00447CF3">
            <w:pPr>
              <w:pStyle w:val="TableTextEV"/>
              <w:spacing w:line="276" w:lineRule="auto"/>
              <w:rPr>
                <w:rFonts w:eastAsia="Arial"/>
                <w:sz w:val="20"/>
              </w:rPr>
            </w:pPr>
            <w:r w:rsidRPr="00847BF4">
              <w:rPr>
                <w:rFonts w:eastAsia="Arial"/>
                <w:sz w:val="20"/>
              </w:rPr>
              <w:t>Regresy zdravotních pojišťoven a SSZ – třetí strany</w:t>
            </w:r>
          </w:p>
        </w:tc>
        <w:tc>
          <w:tcPr>
            <w:tcW w:w="1030" w:type="pct"/>
            <w:tcBorders>
              <w:top w:val="single" w:sz="6" w:space="0" w:color="auto"/>
              <w:left w:val="single" w:sz="6" w:space="0" w:color="auto"/>
              <w:bottom w:val="single" w:sz="6" w:space="0" w:color="auto"/>
              <w:right w:val="single" w:sz="6" w:space="0" w:color="auto"/>
            </w:tcBorders>
            <w:vAlign w:val="center"/>
            <w:hideMark/>
          </w:tcPr>
          <w:p w14:paraId="43EAA443" w14:textId="77777777" w:rsidR="005508F0" w:rsidRPr="00847BF4" w:rsidRDefault="005508F0">
            <w:pPr>
              <w:pStyle w:val="TextTabulkyRespect"/>
              <w:suppressAutoHyphens/>
              <w:spacing w:line="320" w:lineRule="atLeast"/>
              <w:jc w:val="right"/>
              <w:rPr>
                <w:rFonts w:cs="Arial"/>
                <w:szCs w:val="20"/>
              </w:rPr>
            </w:pPr>
            <w:r w:rsidRPr="00847BF4">
              <w:rPr>
                <w:rFonts w:cs="Arial"/>
                <w:szCs w:val="20"/>
              </w:rPr>
              <w:t>plná výše základního limitu</w:t>
            </w:r>
          </w:p>
        </w:tc>
        <w:tc>
          <w:tcPr>
            <w:tcW w:w="1386" w:type="pct"/>
            <w:tcBorders>
              <w:top w:val="single" w:sz="6" w:space="0" w:color="auto"/>
              <w:left w:val="single" w:sz="6" w:space="0" w:color="auto"/>
              <w:bottom w:val="single" w:sz="6" w:space="0" w:color="auto"/>
              <w:right w:val="single" w:sz="12" w:space="0" w:color="auto"/>
            </w:tcBorders>
            <w:vAlign w:val="center"/>
          </w:tcPr>
          <w:p w14:paraId="33B351DD" w14:textId="77777777" w:rsidR="00E90365" w:rsidRPr="00847BF4" w:rsidRDefault="00E90365" w:rsidP="00E90365">
            <w:pPr>
              <w:pStyle w:val="TextTabulkyRespect"/>
              <w:suppressAutoHyphens/>
              <w:spacing w:line="320" w:lineRule="atLeast"/>
              <w:jc w:val="right"/>
              <w:rPr>
                <w:szCs w:val="20"/>
              </w:rPr>
            </w:pPr>
            <w:r w:rsidRPr="00847BF4">
              <w:rPr>
                <w:szCs w:val="20"/>
              </w:rPr>
              <w:t>250.000</w:t>
            </w:r>
          </w:p>
          <w:p w14:paraId="01585757" w14:textId="77777777" w:rsidR="00E90365" w:rsidRPr="00847BF4" w:rsidRDefault="00E90365" w:rsidP="00E90365">
            <w:pPr>
              <w:pStyle w:val="TextTabulkyRespect"/>
              <w:suppressAutoHyphens/>
              <w:spacing w:line="320" w:lineRule="atLeast"/>
              <w:jc w:val="right"/>
              <w:rPr>
                <w:szCs w:val="20"/>
              </w:rPr>
            </w:pPr>
          </w:p>
          <w:p w14:paraId="1BAC7E40" w14:textId="47780E70" w:rsidR="005508F0" w:rsidRPr="00847BF4" w:rsidRDefault="00E90365" w:rsidP="00E90365">
            <w:pPr>
              <w:pStyle w:val="TextTabulkyRespect"/>
              <w:suppressAutoHyphens/>
              <w:spacing w:line="320" w:lineRule="atLeast"/>
              <w:jc w:val="right"/>
              <w:rPr>
                <w:szCs w:val="20"/>
              </w:rPr>
            </w:pPr>
            <w:r w:rsidRPr="00847BF4">
              <w:rPr>
                <w:szCs w:val="20"/>
              </w:rPr>
              <w:t xml:space="preserve">Pro obor gynekologie-porodnictví a neonatologie </w:t>
            </w:r>
            <w:proofErr w:type="gramStart"/>
            <w:r w:rsidRPr="00847BF4">
              <w:rPr>
                <w:szCs w:val="20"/>
              </w:rPr>
              <w:t>10%</w:t>
            </w:r>
            <w:proofErr w:type="gramEnd"/>
            <w:r w:rsidRPr="00847BF4">
              <w:rPr>
                <w:szCs w:val="20"/>
              </w:rPr>
              <w:t xml:space="preserve"> min. 500.000</w:t>
            </w:r>
          </w:p>
        </w:tc>
      </w:tr>
      <w:tr w:rsidR="00847BF4" w:rsidRPr="00847BF4" w14:paraId="0AC6F141" w14:textId="77777777" w:rsidTr="00484441">
        <w:trPr>
          <w:trHeight w:val="409"/>
        </w:trPr>
        <w:tc>
          <w:tcPr>
            <w:tcW w:w="376" w:type="pct"/>
            <w:tcBorders>
              <w:top w:val="single" w:sz="6" w:space="0" w:color="auto"/>
              <w:left w:val="single" w:sz="12" w:space="0" w:color="auto"/>
              <w:bottom w:val="single" w:sz="6" w:space="0" w:color="auto"/>
              <w:right w:val="single" w:sz="6" w:space="0" w:color="auto"/>
            </w:tcBorders>
          </w:tcPr>
          <w:p w14:paraId="59926022" w14:textId="77777777" w:rsidR="005508F0" w:rsidRPr="00847BF4" w:rsidRDefault="00672CBD" w:rsidP="002D71D9">
            <w:pPr>
              <w:pStyle w:val="TableTextEV"/>
              <w:spacing w:line="276" w:lineRule="auto"/>
              <w:rPr>
                <w:rFonts w:eastAsia="Arial"/>
                <w:sz w:val="20"/>
              </w:rPr>
            </w:pPr>
            <w:r w:rsidRPr="00847BF4">
              <w:rPr>
                <w:rFonts w:eastAsia="Arial"/>
                <w:sz w:val="20"/>
              </w:rPr>
              <w:t>2</w:t>
            </w:r>
            <w:r w:rsidR="002D71D9" w:rsidRPr="00847BF4">
              <w:rPr>
                <w:rFonts w:eastAsia="Arial"/>
                <w:sz w:val="20"/>
              </w:rPr>
              <w:t>3</w:t>
            </w:r>
          </w:p>
        </w:tc>
        <w:tc>
          <w:tcPr>
            <w:tcW w:w="2208" w:type="pct"/>
            <w:tcBorders>
              <w:top w:val="single" w:sz="6" w:space="0" w:color="auto"/>
              <w:left w:val="single" w:sz="12" w:space="0" w:color="auto"/>
              <w:bottom w:val="single" w:sz="6" w:space="0" w:color="auto"/>
              <w:right w:val="single" w:sz="6" w:space="0" w:color="auto"/>
            </w:tcBorders>
            <w:hideMark/>
          </w:tcPr>
          <w:p w14:paraId="5F7EE4EC" w14:textId="77777777" w:rsidR="005508F0" w:rsidRPr="00847BF4" w:rsidRDefault="005508F0" w:rsidP="00447CF3">
            <w:pPr>
              <w:pStyle w:val="TableTextEV"/>
              <w:spacing w:line="276" w:lineRule="auto"/>
              <w:rPr>
                <w:rFonts w:eastAsia="Arial"/>
                <w:sz w:val="20"/>
              </w:rPr>
            </w:pPr>
            <w:r w:rsidRPr="00847BF4">
              <w:rPr>
                <w:rFonts w:eastAsia="Arial"/>
                <w:sz w:val="20"/>
              </w:rPr>
              <w:t xml:space="preserve">Regres zdravotní pojišťovny a </w:t>
            </w:r>
            <w:proofErr w:type="gramStart"/>
            <w:r w:rsidRPr="00847BF4">
              <w:rPr>
                <w:rFonts w:eastAsia="Arial"/>
                <w:sz w:val="20"/>
              </w:rPr>
              <w:t>SSZ - zaměstnanci</w:t>
            </w:r>
            <w:proofErr w:type="gramEnd"/>
          </w:p>
        </w:tc>
        <w:tc>
          <w:tcPr>
            <w:tcW w:w="1030" w:type="pct"/>
            <w:tcBorders>
              <w:top w:val="single" w:sz="6" w:space="0" w:color="auto"/>
              <w:left w:val="single" w:sz="6" w:space="0" w:color="auto"/>
              <w:bottom w:val="single" w:sz="6" w:space="0" w:color="auto"/>
              <w:right w:val="single" w:sz="6" w:space="0" w:color="auto"/>
            </w:tcBorders>
            <w:vAlign w:val="center"/>
            <w:hideMark/>
          </w:tcPr>
          <w:p w14:paraId="22211325" w14:textId="77777777" w:rsidR="005508F0" w:rsidRPr="00847BF4" w:rsidRDefault="005508F0">
            <w:pPr>
              <w:pStyle w:val="TextTabulkyRespect"/>
              <w:suppressAutoHyphens/>
              <w:spacing w:line="320" w:lineRule="atLeast"/>
              <w:jc w:val="right"/>
              <w:rPr>
                <w:rFonts w:cs="Arial"/>
                <w:szCs w:val="20"/>
              </w:rPr>
            </w:pPr>
            <w:r w:rsidRPr="00847BF4">
              <w:rPr>
                <w:rFonts w:cs="Arial"/>
                <w:szCs w:val="20"/>
              </w:rPr>
              <w:t>10.000.000</w:t>
            </w:r>
          </w:p>
        </w:tc>
        <w:tc>
          <w:tcPr>
            <w:tcW w:w="1386" w:type="pct"/>
            <w:tcBorders>
              <w:top w:val="single" w:sz="6" w:space="0" w:color="auto"/>
              <w:left w:val="single" w:sz="6" w:space="0" w:color="auto"/>
              <w:bottom w:val="single" w:sz="6" w:space="0" w:color="auto"/>
              <w:right w:val="single" w:sz="12" w:space="0" w:color="auto"/>
            </w:tcBorders>
            <w:vAlign w:val="center"/>
          </w:tcPr>
          <w:p w14:paraId="69E82B03" w14:textId="3D6E53E6" w:rsidR="005508F0" w:rsidRPr="00847BF4" w:rsidRDefault="00290C65" w:rsidP="002D71D9">
            <w:pPr>
              <w:pStyle w:val="TextTabulkyRespect"/>
              <w:suppressAutoHyphens/>
              <w:spacing w:line="320" w:lineRule="atLeast"/>
              <w:jc w:val="right"/>
              <w:rPr>
                <w:rFonts w:cs="Arial"/>
                <w:szCs w:val="20"/>
              </w:rPr>
            </w:pPr>
            <w:r w:rsidRPr="00847BF4">
              <w:rPr>
                <w:rFonts w:cs="Arial"/>
                <w:szCs w:val="20"/>
              </w:rPr>
              <w:t>250.000</w:t>
            </w:r>
          </w:p>
        </w:tc>
      </w:tr>
      <w:tr w:rsidR="00847BF4" w:rsidRPr="00847BF4" w14:paraId="4AE7B6D9" w14:textId="77777777" w:rsidTr="002D71D9">
        <w:trPr>
          <w:trHeight w:val="409"/>
        </w:trPr>
        <w:tc>
          <w:tcPr>
            <w:tcW w:w="376" w:type="pct"/>
            <w:tcBorders>
              <w:top w:val="single" w:sz="6" w:space="0" w:color="auto"/>
              <w:left w:val="single" w:sz="12" w:space="0" w:color="auto"/>
              <w:bottom w:val="single" w:sz="6" w:space="0" w:color="auto"/>
              <w:right w:val="single" w:sz="6" w:space="0" w:color="auto"/>
            </w:tcBorders>
          </w:tcPr>
          <w:p w14:paraId="0D21F1F4" w14:textId="77777777" w:rsidR="005508F0" w:rsidRPr="00847BF4" w:rsidRDefault="00672CBD" w:rsidP="002D71D9">
            <w:pPr>
              <w:pStyle w:val="TableTextEV"/>
              <w:spacing w:line="276" w:lineRule="auto"/>
              <w:rPr>
                <w:rFonts w:eastAsia="Arial"/>
                <w:sz w:val="20"/>
              </w:rPr>
            </w:pPr>
            <w:r w:rsidRPr="00847BF4">
              <w:rPr>
                <w:rFonts w:eastAsia="Arial"/>
                <w:sz w:val="20"/>
              </w:rPr>
              <w:t>2</w:t>
            </w:r>
            <w:r w:rsidR="002D71D9" w:rsidRPr="00847BF4">
              <w:rPr>
                <w:rFonts w:eastAsia="Arial"/>
                <w:sz w:val="20"/>
              </w:rPr>
              <w:t>4</w:t>
            </w:r>
          </w:p>
        </w:tc>
        <w:tc>
          <w:tcPr>
            <w:tcW w:w="2208" w:type="pct"/>
            <w:tcBorders>
              <w:top w:val="single" w:sz="6" w:space="0" w:color="auto"/>
              <w:left w:val="single" w:sz="12" w:space="0" w:color="auto"/>
              <w:bottom w:val="single" w:sz="6" w:space="0" w:color="auto"/>
              <w:right w:val="single" w:sz="6" w:space="0" w:color="auto"/>
            </w:tcBorders>
            <w:hideMark/>
          </w:tcPr>
          <w:p w14:paraId="6A4BDEFA" w14:textId="77777777" w:rsidR="005508F0" w:rsidRPr="00847BF4" w:rsidRDefault="005508F0" w:rsidP="00447CF3">
            <w:pPr>
              <w:pStyle w:val="TableTextEV"/>
              <w:spacing w:line="276" w:lineRule="auto"/>
              <w:rPr>
                <w:rFonts w:eastAsia="Arial"/>
                <w:sz w:val="20"/>
              </w:rPr>
            </w:pPr>
            <w:r w:rsidRPr="00847BF4">
              <w:rPr>
                <w:rFonts w:eastAsia="Arial"/>
                <w:sz w:val="20"/>
              </w:rPr>
              <w:t>Náhlé znečištění životního prostředí; zahrnuje i náklady na vyčištění nebo dekontaminaci</w:t>
            </w:r>
          </w:p>
        </w:tc>
        <w:tc>
          <w:tcPr>
            <w:tcW w:w="1030" w:type="pct"/>
            <w:tcBorders>
              <w:top w:val="single" w:sz="6" w:space="0" w:color="auto"/>
              <w:left w:val="single" w:sz="6" w:space="0" w:color="auto"/>
              <w:bottom w:val="single" w:sz="6" w:space="0" w:color="auto"/>
              <w:right w:val="single" w:sz="6" w:space="0" w:color="auto"/>
            </w:tcBorders>
            <w:vAlign w:val="center"/>
            <w:hideMark/>
          </w:tcPr>
          <w:p w14:paraId="7BB605A4" w14:textId="77777777" w:rsidR="005508F0" w:rsidRPr="00847BF4" w:rsidRDefault="005508F0">
            <w:pPr>
              <w:pStyle w:val="TextTabulkyRespect"/>
              <w:suppressAutoHyphens/>
              <w:spacing w:line="320" w:lineRule="atLeast"/>
              <w:jc w:val="right"/>
              <w:rPr>
                <w:szCs w:val="20"/>
              </w:rPr>
            </w:pPr>
            <w:r w:rsidRPr="00847BF4">
              <w:rPr>
                <w:szCs w:val="20"/>
              </w:rPr>
              <w:t>10.000.000</w:t>
            </w:r>
          </w:p>
        </w:tc>
        <w:tc>
          <w:tcPr>
            <w:tcW w:w="1386" w:type="pct"/>
            <w:tcBorders>
              <w:top w:val="single" w:sz="6" w:space="0" w:color="auto"/>
              <w:left w:val="single" w:sz="6" w:space="0" w:color="auto"/>
              <w:bottom w:val="single" w:sz="6" w:space="0" w:color="auto"/>
              <w:right w:val="single" w:sz="12" w:space="0" w:color="auto"/>
            </w:tcBorders>
            <w:vAlign w:val="center"/>
          </w:tcPr>
          <w:p w14:paraId="11036934" w14:textId="1BD9DC25"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41872EB4" w14:textId="77777777" w:rsidTr="002D71D9">
        <w:trPr>
          <w:trHeight w:val="409"/>
        </w:trPr>
        <w:tc>
          <w:tcPr>
            <w:tcW w:w="376" w:type="pct"/>
            <w:tcBorders>
              <w:top w:val="single" w:sz="6" w:space="0" w:color="auto"/>
              <w:left w:val="single" w:sz="12" w:space="0" w:color="auto"/>
              <w:bottom w:val="single" w:sz="6" w:space="0" w:color="auto"/>
              <w:right w:val="single" w:sz="6" w:space="0" w:color="auto"/>
            </w:tcBorders>
          </w:tcPr>
          <w:p w14:paraId="365E7D32" w14:textId="77777777" w:rsidR="005508F0" w:rsidRPr="00847BF4" w:rsidRDefault="00672CBD" w:rsidP="002D71D9">
            <w:pPr>
              <w:pStyle w:val="TableTextEV"/>
              <w:spacing w:line="276" w:lineRule="auto"/>
              <w:rPr>
                <w:rFonts w:eastAsia="Arial"/>
                <w:sz w:val="20"/>
              </w:rPr>
            </w:pPr>
            <w:r w:rsidRPr="00847BF4">
              <w:rPr>
                <w:rFonts w:eastAsia="Arial"/>
                <w:sz w:val="20"/>
              </w:rPr>
              <w:t>2</w:t>
            </w:r>
            <w:r w:rsidR="002D71D9" w:rsidRPr="00847BF4">
              <w:rPr>
                <w:rFonts w:eastAsia="Arial"/>
                <w:sz w:val="20"/>
              </w:rPr>
              <w:t>5</w:t>
            </w:r>
          </w:p>
        </w:tc>
        <w:tc>
          <w:tcPr>
            <w:tcW w:w="2208" w:type="pct"/>
            <w:tcBorders>
              <w:top w:val="single" w:sz="6" w:space="0" w:color="auto"/>
              <w:left w:val="single" w:sz="12" w:space="0" w:color="auto"/>
              <w:bottom w:val="single" w:sz="6" w:space="0" w:color="auto"/>
              <w:right w:val="single" w:sz="6" w:space="0" w:color="auto"/>
            </w:tcBorders>
            <w:hideMark/>
          </w:tcPr>
          <w:p w14:paraId="61F5C340" w14:textId="77777777" w:rsidR="005508F0" w:rsidRPr="00847BF4" w:rsidRDefault="005508F0" w:rsidP="00447CF3">
            <w:pPr>
              <w:pStyle w:val="TableTextEV"/>
              <w:spacing w:line="276" w:lineRule="auto"/>
              <w:rPr>
                <w:rFonts w:eastAsia="Arial"/>
                <w:sz w:val="20"/>
              </w:rPr>
            </w:pPr>
            <w:r w:rsidRPr="00847BF4">
              <w:rPr>
                <w:rFonts w:eastAsia="Arial"/>
                <w:sz w:val="20"/>
              </w:rPr>
              <w:t>Újma způsobená v souvislosti s poskytováním sociálně právní ochrany dětí dle zákona č.359/1999 Sb. ve znění pozdějších předpisů</w:t>
            </w:r>
          </w:p>
        </w:tc>
        <w:tc>
          <w:tcPr>
            <w:tcW w:w="1030" w:type="pct"/>
            <w:tcBorders>
              <w:top w:val="single" w:sz="6" w:space="0" w:color="auto"/>
              <w:left w:val="single" w:sz="6" w:space="0" w:color="auto"/>
              <w:bottom w:val="single" w:sz="6" w:space="0" w:color="auto"/>
              <w:right w:val="single" w:sz="6" w:space="0" w:color="auto"/>
            </w:tcBorders>
            <w:vAlign w:val="center"/>
            <w:hideMark/>
          </w:tcPr>
          <w:p w14:paraId="2C505128" w14:textId="77777777" w:rsidR="005508F0" w:rsidRPr="00847BF4" w:rsidRDefault="005508F0">
            <w:pPr>
              <w:pStyle w:val="TextTabulkyRespect"/>
              <w:suppressAutoHyphens/>
              <w:spacing w:line="320" w:lineRule="atLeast"/>
              <w:jc w:val="right"/>
              <w:rPr>
                <w:szCs w:val="20"/>
              </w:rPr>
            </w:pPr>
            <w:r w:rsidRPr="00847BF4">
              <w:rPr>
                <w:szCs w:val="20"/>
              </w:rPr>
              <w:t>5.000.000</w:t>
            </w:r>
          </w:p>
        </w:tc>
        <w:tc>
          <w:tcPr>
            <w:tcW w:w="1386" w:type="pct"/>
            <w:tcBorders>
              <w:top w:val="single" w:sz="6" w:space="0" w:color="auto"/>
              <w:left w:val="single" w:sz="6" w:space="0" w:color="auto"/>
              <w:bottom w:val="single" w:sz="6" w:space="0" w:color="auto"/>
              <w:right w:val="single" w:sz="12" w:space="0" w:color="auto"/>
            </w:tcBorders>
            <w:vAlign w:val="center"/>
          </w:tcPr>
          <w:p w14:paraId="20463C62" w14:textId="0FDF2E84"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77B0CBDB" w14:textId="77777777" w:rsidTr="002D71D9">
        <w:trPr>
          <w:trHeight w:val="409"/>
        </w:trPr>
        <w:tc>
          <w:tcPr>
            <w:tcW w:w="376" w:type="pct"/>
            <w:tcBorders>
              <w:top w:val="single" w:sz="6" w:space="0" w:color="auto"/>
              <w:left w:val="single" w:sz="12" w:space="0" w:color="auto"/>
              <w:bottom w:val="single" w:sz="6" w:space="0" w:color="auto"/>
              <w:right w:val="single" w:sz="6" w:space="0" w:color="auto"/>
            </w:tcBorders>
          </w:tcPr>
          <w:p w14:paraId="7A178495" w14:textId="77777777" w:rsidR="005508F0" w:rsidRPr="00847BF4" w:rsidRDefault="00672CBD" w:rsidP="002D71D9">
            <w:pPr>
              <w:pStyle w:val="TableTextEV"/>
              <w:spacing w:line="276" w:lineRule="auto"/>
              <w:rPr>
                <w:rFonts w:eastAsia="Arial"/>
                <w:sz w:val="20"/>
              </w:rPr>
            </w:pPr>
            <w:r w:rsidRPr="00847BF4">
              <w:rPr>
                <w:rFonts w:eastAsia="Arial"/>
                <w:sz w:val="20"/>
              </w:rPr>
              <w:t>2</w:t>
            </w:r>
            <w:r w:rsidR="002D71D9" w:rsidRPr="00847BF4">
              <w:rPr>
                <w:rFonts w:eastAsia="Arial"/>
                <w:sz w:val="20"/>
              </w:rPr>
              <w:t>6</w:t>
            </w:r>
          </w:p>
        </w:tc>
        <w:tc>
          <w:tcPr>
            <w:tcW w:w="2208" w:type="pct"/>
            <w:tcBorders>
              <w:top w:val="single" w:sz="6" w:space="0" w:color="auto"/>
              <w:left w:val="single" w:sz="12" w:space="0" w:color="auto"/>
              <w:bottom w:val="single" w:sz="6" w:space="0" w:color="auto"/>
              <w:right w:val="single" w:sz="6" w:space="0" w:color="auto"/>
            </w:tcBorders>
            <w:hideMark/>
          </w:tcPr>
          <w:p w14:paraId="7346361F" w14:textId="77777777" w:rsidR="005508F0" w:rsidRPr="00847BF4" w:rsidRDefault="005508F0" w:rsidP="00447CF3">
            <w:pPr>
              <w:pStyle w:val="TableTextEV"/>
              <w:spacing w:line="276" w:lineRule="auto"/>
            </w:pPr>
            <w:r w:rsidRPr="00847BF4">
              <w:rPr>
                <w:rFonts w:eastAsia="Arial"/>
                <w:sz w:val="20"/>
              </w:rPr>
              <w:t>Odpovědnost za újmu vzniklou v souvislosti s péčí o dítě v dětské skupině (předpis 247/2014 Sb.)</w:t>
            </w:r>
          </w:p>
        </w:tc>
        <w:tc>
          <w:tcPr>
            <w:tcW w:w="1030" w:type="pct"/>
            <w:tcBorders>
              <w:top w:val="single" w:sz="6" w:space="0" w:color="auto"/>
              <w:left w:val="single" w:sz="6" w:space="0" w:color="auto"/>
              <w:bottom w:val="single" w:sz="6" w:space="0" w:color="auto"/>
              <w:right w:val="single" w:sz="6" w:space="0" w:color="auto"/>
            </w:tcBorders>
            <w:vAlign w:val="center"/>
            <w:hideMark/>
          </w:tcPr>
          <w:p w14:paraId="679735FA" w14:textId="77777777" w:rsidR="005508F0" w:rsidRPr="00847BF4" w:rsidRDefault="005508F0">
            <w:pPr>
              <w:pStyle w:val="TextTabulkyRespect"/>
              <w:suppressAutoHyphens/>
              <w:spacing w:line="320" w:lineRule="atLeast"/>
              <w:jc w:val="right"/>
              <w:rPr>
                <w:szCs w:val="20"/>
              </w:rPr>
            </w:pPr>
            <w:r w:rsidRPr="00847BF4">
              <w:rPr>
                <w:szCs w:val="20"/>
              </w:rPr>
              <w:t>5.000.000</w:t>
            </w:r>
          </w:p>
        </w:tc>
        <w:tc>
          <w:tcPr>
            <w:tcW w:w="1386" w:type="pct"/>
            <w:tcBorders>
              <w:top w:val="single" w:sz="6" w:space="0" w:color="auto"/>
              <w:left w:val="single" w:sz="6" w:space="0" w:color="auto"/>
              <w:bottom w:val="single" w:sz="6" w:space="0" w:color="auto"/>
              <w:right w:val="single" w:sz="12" w:space="0" w:color="auto"/>
            </w:tcBorders>
            <w:vAlign w:val="center"/>
          </w:tcPr>
          <w:p w14:paraId="2EFE9542" w14:textId="000844D7"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0905E95F" w14:textId="77777777" w:rsidTr="002D71D9">
        <w:trPr>
          <w:trHeight w:val="409"/>
        </w:trPr>
        <w:tc>
          <w:tcPr>
            <w:tcW w:w="376" w:type="pct"/>
            <w:tcBorders>
              <w:top w:val="single" w:sz="6" w:space="0" w:color="auto"/>
              <w:left w:val="single" w:sz="12" w:space="0" w:color="auto"/>
              <w:bottom w:val="single" w:sz="6" w:space="0" w:color="auto"/>
              <w:right w:val="single" w:sz="6" w:space="0" w:color="auto"/>
            </w:tcBorders>
          </w:tcPr>
          <w:p w14:paraId="54898A51" w14:textId="77777777" w:rsidR="005508F0" w:rsidRPr="00847BF4" w:rsidRDefault="00672CBD" w:rsidP="002D71D9">
            <w:pPr>
              <w:pStyle w:val="TableTextEV"/>
              <w:spacing w:line="276" w:lineRule="auto"/>
              <w:rPr>
                <w:rFonts w:eastAsia="Arial"/>
                <w:sz w:val="20"/>
              </w:rPr>
            </w:pPr>
            <w:r w:rsidRPr="00847BF4">
              <w:rPr>
                <w:rFonts w:eastAsia="Arial"/>
                <w:sz w:val="20"/>
              </w:rPr>
              <w:t>2</w:t>
            </w:r>
            <w:r w:rsidR="002D71D9" w:rsidRPr="00847BF4">
              <w:rPr>
                <w:rFonts w:eastAsia="Arial"/>
                <w:sz w:val="20"/>
              </w:rPr>
              <w:t>7</w:t>
            </w:r>
          </w:p>
        </w:tc>
        <w:tc>
          <w:tcPr>
            <w:tcW w:w="2208" w:type="pct"/>
            <w:tcBorders>
              <w:top w:val="single" w:sz="6" w:space="0" w:color="auto"/>
              <w:left w:val="single" w:sz="12" w:space="0" w:color="auto"/>
              <w:bottom w:val="single" w:sz="6" w:space="0" w:color="auto"/>
              <w:right w:val="single" w:sz="6" w:space="0" w:color="auto"/>
            </w:tcBorders>
            <w:hideMark/>
          </w:tcPr>
          <w:p w14:paraId="3B8C25B6" w14:textId="77777777" w:rsidR="005508F0" w:rsidRPr="00847BF4" w:rsidRDefault="005508F0" w:rsidP="00447CF3">
            <w:pPr>
              <w:pStyle w:val="TableTextEV"/>
              <w:spacing w:line="276" w:lineRule="auto"/>
              <w:rPr>
                <w:rFonts w:eastAsia="Arial"/>
                <w:sz w:val="20"/>
              </w:rPr>
            </w:pPr>
            <w:r w:rsidRPr="00847BF4">
              <w:rPr>
                <w:rFonts w:eastAsia="Arial"/>
                <w:sz w:val="20"/>
              </w:rPr>
              <w:t>Poskytování sociálních služeb ve smyslu § 49, 50 a 52 zákona 108/2006 Sb.</w:t>
            </w:r>
          </w:p>
        </w:tc>
        <w:tc>
          <w:tcPr>
            <w:tcW w:w="1030" w:type="pct"/>
            <w:tcBorders>
              <w:top w:val="single" w:sz="6" w:space="0" w:color="auto"/>
              <w:left w:val="single" w:sz="6" w:space="0" w:color="auto"/>
              <w:bottom w:val="single" w:sz="6" w:space="0" w:color="auto"/>
              <w:right w:val="single" w:sz="6" w:space="0" w:color="auto"/>
            </w:tcBorders>
            <w:vAlign w:val="center"/>
            <w:hideMark/>
          </w:tcPr>
          <w:p w14:paraId="0A8F7A42" w14:textId="77777777" w:rsidR="005508F0" w:rsidRPr="00847BF4" w:rsidRDefault="005508F0">
            <w:pPr>
              <w:pStyle w:val="TextTabulkyRespect"/>
              <w:suppressAutoHyphens/>
              <w:spacing w:line="320" w:lineRule="atLeast"/>
              <w:jc w:val="right"/>
              <w:rPr>
                <w:szCs w:val="20"/>
              </w:rPr>
            </w:pPr>
            <w:r w:rsidRPr="00847BF4">
              <w:rPr>
                <w:szCs w:val="20"/>
              </w:rPr>
              <w:t>5.000.000</w:t>
            </w:r>
          </w:p>
        </w:tc>
        <w:tc>
          <w:tcPr>
            <w:tcW w:w="1386" w:type="pct"/>
            <w:tcBorders>
              <w:top w:val="single" w:sz="6" w:space="0" w:color="auto"/>
              <w:left w:val="single" w:sz="6" w:space="0" w:color="auto"/>
              <w:bottom w:val="single" w:sz="6" w:space="0" w:color="auto"/>
              <w:right w:val="single" w:sz="12" w:space="0" w:color="auto"/>
            </w:tcBorders>
            <w:vAlign w:val="center"/>
          </w:tcPr>
          <w:p w14:paraId="3D51DFDD" w14:textId="15878440"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656500CD"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42D68AF2" w14:textId="77777777" w:rsidR="005508F0" w:rsidRPr="00847BF4" w:rsidRDefault="00672CBD" w:rsidP="002D71D9">
            <w:pPr>
              <w:pStyle w:val="TableTextEV"/>
              <w:spacing w:line="276" w:lineRule="auto"/>
              <w:rPr>
                <w:rFonts w:eastAsia="Arial"/>
                <w:sz w:val="20"/>
              </w:rPr>
            </w:pPr>
            <w:r w:rsidRPr="00847BF4">
              <w:rPr>
                <w:rFonts w:eastAsia="Arial"/>
                <w:sz w:val="20"/>
              </w:rPr>
              <w:t>2</w:t>
            </w:r>
            <w:r w:rsidR="002D71D9" w:rsidRPr="00847BF4">
              <w:rPr>
                <w:rFonts w:eastAsia="Arial"/>
                <w:sz w:val="20"/>
              </w:rPr>
              <w:t>8</w:t>
            </w:r>
          </w:p>
        </w:tc>
        <w:tc>
          <w:tcPr>
            <w:tcW w:w="2208" w:type="pct"/>
            <w:tcBorders>
              <w:top w:val="single" w:sz="6" w:space="0" w:color="auto"/>
              <w:left w:val="single" w:sz="12" w:space="0" w:color="auto"/>
              <w:bottom w:val="single" w:sz="6" w:space="0" w:color="auto"/>
              <w:right w:val="single" w:sz="6" w:space="0" w:color="auto"/>
            </w:tcBorders>
            <w:hideMark/>
          </w:tcPr>
          <w:p w14:paraId="3B9D50EA" w14:textId="77777777" w:rsidR="005508F0" w:rsidRPr="00847BF4" w:rsidRDefault="005508F0" w:rsidP="00447CF3">
            <w:pPr>
              <w:pStyle w:val="TableTextEV"/>
              <w:spacing w:line="276" w:lineRule="auto"/>
            </w:pPr>
            <w:r w:rsidRPr="00847BF4">
              <w:rPr>
                <w:rFonts w:eastAsia="Arial"/>
                <w:sz w:val="20"/>
              </w:rPr>
              <w:t>Odpovědnost za újmu vzniklou v souvislosti s pořádáním kulturních, společenských, vzdělávacích a podobných akcí</w:t>
            </w:r>
          </w:p>
        </w:tc>
        <w:tc>
          <w:tcPr>
            <w:tcW w:w="1030" w:type="pct"/>
            <w:tcBorders>
              <w:top w:val="single" w:sz="6" w:space="0" w:color="auto"/>
              <w:left w:val="single" w:sz="6" w:space="0" w:color="auto"/>
              <w:bottom w:val="single" w:sz="6" w:space="0" w:color="auto"/>
              <w:right w:val="single" w:sz="6" w:space="0" w:color="auto"/>
            </w:tcBorders>
            <w:vAlign w:val="center"/>
            <w:hideMark/>
          </w:tcPr>
          <w:p w14:paraId="1D35E32C" w14:textId="77777777" w:rsidR="005508F0" w:rsidRPr="00847BF4" w:rsidRDefault="005508F0">
            <w:pPr>
              <w:pStyle w:val="TextTabulkyRespect"/>
              <w:suppressAutoHyphens/>
              <w:spacing w:line="320" w:lineRule="atLeast"/>
              <w:jc w:val="right"/>
              <w:rPr>
                <w:szCs w:val="20"/>
              </w:rPr>
            </w:pPr>
            <w:r w:rsidRPr="00847BF4">
              <w:rPr>
                <w:szCs w:val="20"/>
              </w:rPr>
              <w:t>5.000.000</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3758D15F" w14:textId="78BCF870"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45B646FC"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6EDCA9C3" w14:textId="77777777" w:rsidR="005508F0" w:rsidRPr="00847BF4" w:rsidRDefault="002D71D9" w:rsidP="002D71D9">
            <w:pPr>
              <w:pStyle w:val="TableTextEV"/>
              <w:spacing w:line="276" w:lineRule="auto"/>
              <w:rPr>
                <w:rFonts w:cs="Times New Roman"/>
                <w:bCs/>
                <w:sz w:val="20"/>
                <w:szCs w:val="24"/>
                <w:lang w:eastAsia="cs-CZ"/>
              </w:rPr>
            </w:pPr>
            <w:r w:rsidRPr="00847BF4">
              <w:rPr>
                <w:rFonts w:cs="Times New Roman"/>
                <w:bCs/>
                <w:sz w:val="20"/>
                <w:szCs w:val="24"/>
                <w:lang w:eastAsia="cs-CZ"/>
              </w:rPr>
              <w:t>29</w:t>
            </w:r>
          </w:p>
        </w:tc>
        <w:tc>
          <w:tcPr>
            <w:tcW w:w="2208" w:type="pct"/>
            <w:tcBorders>
              <w:top w:val="single" w:sz="6" w:space="0" w:color="auto"/>
              <w:left w:val="single" w:sz="12" w:space="0" w:color="auto"/>
              <w:bottom w:val="single" w:sz="6" w:space="0" w:color="auto"/>
              <w:right w:val="single" w:sz="6" w:space="0" w:color="auto"/>
            </w:tcBorders>
            <w:hideMark/>
          </w:tcPr>
          <w:p w14:paraId="22699042" w14:textId="77777777" w:rsidR="005508F0" w:rsidRPr="00847BF4" w:rsidRDefault="005508F0" w:rsidP="00447CF3">
            <w:pPr>
              <w:pStyle w:val="TableTextEV"/>
              <w:spacing w:line="276" w:lineRule="auto"/>
              <w:rPr>
                <w:rFonts w:cs="Times New Roman"/>
                <w:bCs/>
                <w:sz w:val="20"/>
                <w:szCs w:val="24"/>
                <w:lang w:eastAsia="cs-CZ"/>
              </w:rPr>
            </w:pPr>
            <w:r w:rsidRPr="00847BF4">
              <w:rPr>
                <w:rFonts w:cs="Times New Roman"/>
                <w:bCs/>
                <w:sz w:val="20"/>
                <w:szCs w:val="24"/>
                <w:lang w:eastAsia="cs-CZ"/>
              </w:rPr>
              <w:t>Křížová odpovědnost</w:t>
            </w:r>
          </w:p>
          <w:p w14:paraId="46CFF58A" w14:textId="77777777" w:rsidR="005508F0" w:rsidRPr="00847BF4" w:rsidRDefault="005508F0" w:rsidP="00447CF3">
            <w:pPr>
              <w:pStyle w:val="TableTextEV"/>
              <w:spacing w:line="276" w:lineRule="auto"/>
            </w:pPr>
            <w:r w:rsidRPr="00847BF4">
              <w:rPr>
                <w:rFonts w:cs="Times New Roman"/>
                <w:bCs/>
                <w:sz w:val="20"/>
                <w:szCs w:val="24"/>
                <w:lang w:eastAsia="cs-CZ"/>
              </w:rPr>
              <w:t>Ujednání o krytí odpovědnosti za újmu, za kterou odpovídá pojištěný osobě, která je v relevantním vztahu k pojištěnému</w:t>
            </w:r>
          </w:p>
        </w:tc>
        <w:tc>
          <w:tcPr>
            <w:tcW w:w="1030" w:type="pct"/>
            <w:tcBorders>
              <w:top w:val="single" w:sz="6" w:space="0" w:color="auto"/>
              <w:left w:val="single" w:sz="6" w:space="0" w:color="auto"/>
              <w:bottom w:val="single" w:sz="6" w:space="0" w:color="auto"/>
              <w:right w:val="single" w:sz="6" w:space="0" w:color="auto"/>
            </w:tcBorders>
            <w:vAlign w:val="center"/>
            <w:hideMark/>
          </w:tcPr>
          <w:p w14:paraId="330B8680" w14:textId="35D73738" w:rsidR="005508F0" w:rsidRPr="00847BF4" w:rsidRDefault="005508F0">
            <w:pPr>
              <w:pStyle w:val="TextTabulkyRespect"/>
              <w:suppressAutoHyphens/>
              <w:spacing w:line="320" w:lineRule="atLeast"/>
              <w:jc w:val="right"/>
              <w:rPr>
                <w:szCs w:val="20"/>
              </w:rPr>
            </w:pPr>
            <w:r w:rsidRPr="00847BF4">
              <w:rPr>
                <w:szCs w:val="20"/>
              </w:rPr>
              <w:t>plná výše základního limitu</w:t>
            </w:r>
            <w:r w:rsidR="00290C65" w:rsidRPr="00847BF4">
              <w:rPr>
                <w:szCs w:val="20"/>
              </w:rPr>
              <w:t xml:space="preserve"> výše limitu dle rizika</w:t>
            </w:r>
          </w:p>
        </w:tc>
        <w:tc>
          <w:tcPr>
            <w:tcW w:w="1386" w:type="pct"/>
            <w:tcBorders>
              <w:top w:val="single" w:sz="6" w:space="0" w:color="auto"/>
              <w:left w:val="single" w:sz="6" w:space="0" w:color="auto"/>
              <w:bottom w:val="single" w:sz="6" w:space="0" w:color="auto"/>
              <w:right w:val="single" w:sz="12" w:space="0" w:color="auto"/>
            </w:tcBorders>
            <w:vAlign w:val="center"/>
            <w:hideMark/>
          </w:tcPr>
          <w:p w14:paraId="5C33AE65" w14:textId="7EA4C046" w:rsidR="005508F0" w:rsidRPr="00847BF4" w:rsidRDefault="00290C65">
            <w:pPr>
              <w:pStyle w:val="TextTabulkyRespect"/>
              <w:suppressAutoHyphens/>
              <w:spacing w:line="320" w:lineRule="atLeast"/>
              <w:jc w:val="right"/>
              <w:rPr>
                <w:szCs w:val="20"/>
              </w:rPr>
            </w:pPr>
            <w:r w:rsidRPr="00847BF4">
              <w:rPr>
                <w:szCs w:val="20"/>
              </w:rPr>
              <w:t>spoluúčast dle spoluúčasti rizika</w:t>
            </w:r>
          </w:p>
        </w:tc>
      </w:tr>
      <w:tr w:rsidR="00847BF4" w:rsidRPr="00847BF4" w14:paraId="262ECA27" w14:textId="77777777" w:rsidTr="002D71D9">
        <w:trPr>
          <w:trHeight w:val="409"/>
        </w:trPr>
        <w:tc>
          <w:tcPr>
            <w:tcW w:w="376" w:type="pct"/>
            <w:tcBorders>
              <w:top w:val="single" w:sz="6" w:space="0" w:color="auto"/>
              <w:left w:val="single" w:sz="12" w:space="0" w:color="auto"/>
              <w:bottom w:val="single" w:sz="6" w:space="0" w:color="auto"/>
              <w:right w:val="single" w:sz="6" w:space="0" w:color="auto"/>
            </w:tcBorders>
          </w:tcPr>
          <w:p w14:paraId="7CCE19C5" w14:textId="77777777" w:rsidR="005508F0" w:rsidRPr="00847BF4" w:rsidRDefault="00672CBD" w:rsidP="002D71D9">
            <w:pPr>
              <w:pStyle w:val="TableTextEV"/>
              <w:spacing w:line="276" w:lineRule="auto"/>
              <w:rPr>
                <w:rFonts w:cs="Times New Roman"/>
                <w:bCs/>
                <w:sz w:val="20"/>
                <w:szCs w:val="24"/>
                <w:lang w:eastAsia="cs-CZ"/>
              </w:rPr>
            </w:pPr>
            <w:r w:rsidRPr="00847BF4">
              <w:rPr>
                <w:rFonts w:cs="Times New Roman"/>
                <w:bCs/>
                <w:sz w:val="20"/>
                <w:szCs w:val="24"/>
                <w:lang w:eastAsia="cs-CZ"/>
              </w:rPr>
              <w:t>3</w:t>
            </w:r>
            <w:r w:rsidR="002D71D9" w:rsidRPr="00847BF4">
              <w:rPr>
                <w:rFonts w:cs="Times New Roman"/>
                <w:bCs/>
                <w:sz w:val="20"/>
                <w:szCs w:val="24"/>
                <w:lang w:eastAsia="cs-CZ"/>
              </w:rPr>
              <w:t>0</w:t>
            </w:r>
          </w:p>
        </w:tc>
        <w:tc>
          <w:tcPr>
            <w:tcW w:w="2208" w:type="pct"/>
            <w:tcBorders>
              <w:top w:val="single" w:sz="6" w:space="0" w:color="auto"/>
              <w:left w:val="single" w:sz="12" w:space="0" w:color="auto"/>
              <w:bottom w:val="single" w:sz="6" w:space="0" w:color="auto"/>
              <w:right w:val="single" w:sz="6" w:space="0" w:color="auto"/>
            </w:tcBorders>
            <w:hideMark/>
          </w:tcPr>
          <w:p w14:paraId="09BF8DCF" w14:textId="77777777" w:rsidR="005508F0" w:rsidRPr="00847BF4" w:rsidRDefault="005508F0" w:rsidP="00447CF3">
            <w:pPr>
              <w:pStyle w:val="TableTextEV"/>
              <w:spacing w:line="276" w:lineRule="auto"/>
            </w:pPr>
            <w:r w:rsidRPr="00847BF4">
              <w:rPr>
                <w:rFonts w:cs="Times New Roman"/>
                <w:bCs/>
                <w:sz w:val="20"/>
                <w:szCs w:val="24"/>
                <w:lang w:eastAsia="cs-CZ"/>
              </w:rPr>
              <w:t>Ručení pojištěného za splnění povinnosti správce pozemní komunikace nahradit újmu</w:t>
            </w:r>
          </w:p>
        </w:tc>
        <w:tc>
          <w:tcPr>
            <w:tcW w:w="1030" w:type="pct"/>
            <w:tcBorders>
              <w:top w:val="single" w:sz="6" w:space="0" w:color="auto"/>
              <w:left w:val="single" w:sz="6" w:space="0" w:color="auto"/>
              <w:bottom w:val="single" w:sz="6" w:space="0" w:color="auto"/>
              <w:right w:val="single" w:sz="6" w:space="0" w:color="auto"/>
            </w:tcBorders>
            <w:vAlign w:val="center"/>
            <w:hideMark/>
          </w:tcPr>
          <w:p w14:paraId="14AFFFC4" w14:textId="77777777" w:rsidR="005508F0" w:rsidRPr="00847BF4" w:rsidRDefault="005508F0">
            <w:pPr>
              <w:pStyle w:val="TextTabulkyRespect"/>
              <w:suppressAutoHyphens/>
              <w:spacing w:line="320" w:lineRule="atLeast"/>
              <w:jc w:val="right"/>
              <w:rPr>
                <w:szCs w:val="20"/>
              </w:rPr>
            </w:pPr>
            <w:r w:rsidRPr="00847BF4">
              <w:rPr>
                <w:szCs w:val="20"/>
              </w:rPr>
              <w:t>plná výše základního limitu</w:t>
            </w:r>
          </w:p>
        </w:tc>
        <w:tc>
          <w:tcPr>
            <w:tcW w:w="1386" w:type="pct"/>
            <w:tcBorders>
              <w:top w:val="single" w:sz="6" w:space="0" w:color="auto"/>
              <w:left w:val="single" w:sz="6" w:space="0" w:color="auto"/>
              <w:bottom w:val="single" w:sz="6" w:space="0" w:color="auto"/>
              <w:right w:val="single" w:sz="12" w:space="0" w:color="auto"/>
            </w:tcBorders>
            <w:vAlign w:val="center"/>
          </w:tcPr>
          <w:p w14:paraId="3EF3B335" w14:textId="7973D12E"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713FAAE6" w14:textId="77777777" w:rsidTr="002D71D9">
        <w:trPr>
          <w:trHeight w:val="796"/>
        </w:trPr>
        <w:tc>
          <w:tcPr>
            <w:tcW w:w="376" w:type="pct"/>
            <w:tcBorders>
              <w:top w:val="single" w:sz="6" w:space="0" w:color="auto"/>
              <w:left w:val="single" w:sz="12" w:space="0" w:color="auto"/>
              <w:bottom w:val="single" w:sz="6" w:space="0" w:color="auto"/>
              <w:right w:val="single" w:sz="6" w:space="0" w:color="auto"/>
            </w:tcBorders>
          </w:tcPr>
          <w:p w14:paraId="6C0E0219" w14:textId="77777777" w:rsidR="005508F0" w:rsidRPr="00847BF4" w:rsidRDefault="00672CBD" w:rsidP="002D71D9">
            <w:pPr>
              <w:pStyle w:val="TableTextEV"/>
              <w:spacing w:line="276" w:lineRule="auto"/>
              <w:rPr>
                <w:rFonts w:cs="Times New Roman"/>
                <w:bCs/>
                <w:sz w:val="20"/>
                <w:szCs w:val="24"/>
                <w:lang w:eastAsia="cs-CZ"/>
              </w:rPr>
            </w:pPr>
            <w:r w:rsidRPr="00847BF4">
              <w:rPr>
                <w:rFonts w:cs="Times New Roman"/>
                <w:bCs/>
                <w:sz w:val="20"/>
                <w:szCs w:val="24"/>
                <w:lang w:eastAsia="cs-CZ"/>
              </w:rPr>
              <w:t>3</w:t>
            </w:r>
            <w:r w:rsidR="002D71D9" w:rsidRPr="00847BF4">
              <w:rPr>
                <w:rFonts w:cs="Times New Roman"/>
                <w:bCs/>
                <w:sz w:val="20"/>
                <w:szCs w:val="24"/>
                <w:lang w:eastAsia="cs-CZ"/>
              </w:rPr>
              <w:t>1</w:t>
            </w:r>
          </w:p>
        </w:tc>
        <w:tc>
          <w:tcPr>
            <w:tcW w:w="2208" w:type="pct"/>
            <w:tcBorders>
              <w:top w:val="single" w:sz="6" w:space="0" w:color="auto"/>
              <w:left w:val="single" w:sz="12" w:space="0" w:color="auto"/>
              <w:bottom w:val="single" w:sz="6" w:space="0" w:color="auto"/>
              <w:right w:val="single" w:sz="6" w:space="0" w:color="auto"/>
            </w:tcBorders>
            <w:hideMark/>
          </w:tcPr>
          <w:p w14:paraId="7073614E" w14:textId="77777777" w:rsidR="005508F0" w:rsidRPr="00847BF4" w:rsidRDefault="005508F0" w:rsidP="00865407">
            <w:pPr>
              <w:pStyle w:val="TableTextEV"/>
              <w:spacing w:line="276" w:lineRule="auto"/>
              <w:rPr>
                <w:rFonts w:cs="Times New Roman"/>
                <w:bCs/>
                <w:sz w:val="20"/>
                <w:szCs w:val="24"/>
                <w:lang w:eastAsia="cs-CZ"/>
              </w:rPr>
            </w:pPr>
            <w:r w:rsidRPr="00847BF4">
              <w:rPr>
                <w:rFonts w:cs="Times New Roman"/>
                <w:bCs/>
                <w:sz w:val="20"/>
                <w:szCs w:val="24"/>
                <w:lang w:eastAsia="cs-CZ"/>
              </w:rPr>
              <w:t xml:space="preserve">Odpovědnost za újmu vzniklou v souvislosti s kolísáním, omezením nebo přerušením dodávek </w:t>
            </w:r>
            <w:r w:rsidR="00865407" w:rsidRPr="00847BF4">
              <w:rPr>
                <w:rFonts w:cs="Times New Roman"/>
                <w:bCs/>
                <w:sz w:val="20"/>
                <w:szCs w:val="24"/>
                <w:lang w:eastAsia="cs-CZ"/>
              </w:rPr>
              <w:t>distributora</w:t>
            </w:r>
          </w:p>
        </w:tc>
        <w:tc>
          <w:tcPr>
            <w:tcW w:w="1030" w:type="pct"/>
            <w:tcBorders>
              <w:top w:val="single" w:sz="6" w:space="0" w:color="auto"/>
              <w:left w:val="single" w:sz="6" w:space="0" w:color="auto"/>
              <w:bottom w:val="single" w:sz="6" w:space="0" w:color="auto"/>
              <w:right w:val="single" w:sz="6" w:space="0" w:color="auto"/>
            </w:tcBorders>
            <w:vAlign w:val="center"/>
            <w:hideMark/>
          </w:tcPr>
          <w:p w14:paraId="1568E0A7" w14:textId="3880D47B" w:rsidR="005508F0" w:rsidRPr="00847BF4" w:rsidRDefault="00290C65">
            <w:pPr>
              <w:pStyle w:val="TextTabulkyRespect"/>
              <w:suppressAutoHyphens/>
              <w:spacing w:line="320" w:lineRule="atLeast"/>
              <w:jc w:val="right"/>
              <w:rPr>
                <w:szCs w:val="20"/>
              </w:rPr>
            </w:pPr>
            <w:r w:rsidRPr="00847BF4">
              <w:rPr>
                <w:szCs w:val="20"/>
              </w:rPr>
              <w:t>10.000.000</w:t>
            </w:r>
          </w:p>
        </w:tc>
        <w:tc>
          <w:tcPr>
            <w:tcW w:w="1386" w:type="pct"/>
            <w:tcBorders>
              <w:top w:val="single" w:sz="6" w:space="0" w:color="auto"/>
              <w:left w:val="single" w:sz="6" w:space="0" w:color="auto"/>
              <w:bottom w:val="single" w:sz="6" w:space="0" w:color="auto"/>
              <w:right w:val="single" w:sz="12" w:space="0" w:color="auto"/>
            </w:tcBorders>
            <w:vAlign w:val="center"/>
          </w:tcPr>
          <w:p w14:paraId="737F2F1F" w14:textId="6B2CD67C"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78F3D01F" w14:textId="77777777" w:rsidTr="002D71D9">
        <w:trPr>
          <w:trHeight w:val="409"/>
        </w:trPr>
        <w:tc>
          <w:tcPr>
            <w:tcW w:w="376" w:type="pct"/>
            <w:tcBorders>
              <w:top w:val="single" w:sz="6" w:space="0" w:color="auto"/>
              <w:left w:val="single" w:sz="12" w:space="0" w:color="auto"/>
              <w:bottom w:val="single" w:sz="6" w:space="0" w:color="auto"/>
              <w:right w:val="single" w:sz="6" w:space="0" w:color="auto"/>
            </w:tcBorders>
          </w:tcPr>
          <w:p w14:paraId="328C3676" w14:textId="77777777" w:rsidR="005508F0" w:rsidRPr="00847BF4" w:rsidRDefault="00672CBD" w:rsidP="002D71D9">
            <w:pPr>
              <w:pStyle w:val="TableTextEV"/>
              <w:spacing w:line="276" w:lineRule="auto"/>
              <w:rPr>
                <w:rFonts w:cs="Times New Roman"/>
                <w:bCs/>
                <w:sz w:val="20"/>
                <w:szCs w:val="24"/>
                <w:lang w:eastAsia="cs-CZ"/>
              </w:rPr>
            </w:pPr>
            <w:r w:rsidRPr="00847BF4">
              <w:rPr>
                <w:rFonts w:cs="Times New Roman"/>
                <w:bCs/>
                <w:sz w:val="20"/>
                <w:szCs w:val="24"/>
                <w:lang w:eastAsia="cs-CZ"/>
              </w:rPr>
              <w:t>3</w:t>
            </w:r>
            <w:r w:rsidR="002D71D9" w:rsidRPr="00847BF4">
              <w:rPr>
                <w:rFonts w:cs="Times New Roman"/>
                <w:bCs/>
                <w:sz w:val="20"/>
                <w:szCs w:val="24"/>
                <w:lang w:eastAsia="cs-CZ"/>
              </w:rPr>
              <w:t>2</w:t>
            </w:r>
          </w:p>
        </w:tc>
        <w:tc>
          <w:tcPr>
            <w:tcW w:w="2208" w:type="pct"/>
            <w:tcBorders>
              <w:top w:val="single" w:sz="6" w:space="0" w:color="auto"/>
              <w:left w:val="single" w:sz="12" w:space="0" w:color="auto"/>
              <w:bottom w:val="single" w:sz="6" w:space="0" w:color="auto"/>
              <w:right w:val="single" w:sz="6" w:space="0" w:color="auto"/>
            </w:tcBorders>
            <w:hideMark/>
          </w:tcPr>
          <w:p w14:paraId="48121EEA" w14:textId="77777777" w:rsidR="005508F0" w:rsidRPr="00847BF4" w:rsidRDefault="005508F0" w:rsidP="00447CF3">
            <w:pPr>
              <w:pStyle w:val="TableTextEV"/>
              <w:spacing w:line="276" w:lineRule="auto"/>
              <w:rPr>
                <w:rFonts w:cs="Times New Roman"/>
                <w:bCs/>
                <w:sz w:val="20"/>
                <w:szCs w:val="24"/>
                <w:lang w:eastAsia="cs-CZ"/>
              </w:rPr>
            </w:pPr>
            <w:r w:rsidRPr="00847BF4">
              <w:rPr>
                <w:rFonts w:cs="Times New Roman"/>
                <w:bCs/>
                <w:sz w:val="20"/>
                <w:szCs w:val="24"/>
                <w:lang w:eastAsia="cs-CZ"/>
              </w:rPr>
              <w:t>Odpovědnost za újmu vzniklou v důsledku vyhotovení lékařského posudku</w:t>
            </w:r>
          </w:p>
        </w:tc>
        <w:tc>
          <w:tcPr>
            <w:tcW w:w="1030" w:type="pct"/>
            <w:tcBorders>
              <w:top w:val="single" w:sz="6" w:space="0" w:color="auto"/>
              <w:left w:val="single" w:sz="6" w:space="0" w:color="auto"/>
              <w:bottom w:val="single" w:sz="6" w:space="0" w:color="auto"/>
              <w:right w:val="single" w:sz="6" w:space="0" w:color="auto"/>
            </w:tcBorders>
            <w:vAlign w:val="center"/>
            <w:hideMark/>
          </w:tcPr>
          <w:p w14:paraId="7A38CCDF" w14:textId="77777777" w:rsidR="005508F0" w:rsidRPr="00847BF4" w:rsidRDefault="005508F0">
            <w:pPr>
              <w:pStyle w:val="TextTabulkyRespect"/>
              <w:suppressAutoHyphens/>
              <w:spacing w:line="320" w:lineRule="atLeast"/>
              <w:jc w:val="right"/>
              <w:rPr>
                <w:szCs w:val="20"/>
              </w:rPr>
            </w:pPr>
            <w:r w:rsidRPr="00847BF4">
              <w:rPr>
                <w:szCs w:val="20"/>
              </w:rPr>
              <w:t>plná výše základního limitu</w:t>
            </w:r>
          </w:p>
        </w:tc>
        <w:tc>
          <w:tcPr>
            <w:tcW w:w="1386" w:type="pct"/>
            <w:tcBorders>
              <w:top w:val="single" w:sz="6" w:space="0" w:color="auto"/>
              <w:left w:val="single" w:sz="6" w:space="0" w:color="auto"/>
              <w:bottom w:val="single" w:sz="6" w:space="0" w:color="auto"/>
              <w:right w:val="single" w:sz="12" w:space="0" w:color="auto"/>
            </w:tcBorders>
            <w:vAlign w:val="center"/>
          </w:tcPr>
          <w:p w14:paraId="70188D5B" w14:textId="0746B3F5"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5EA0E3C2" w14:textId="77777777" w:rsidTr="002D71D9">
        <w:trPr>
          <w:trHeight w:val="409"/>
        </w:trPr>
        <w:tc>
          <w:tcPr>
            <w:tcW w:w="376" w:type="pct"/>
            <w:tcBorders>
              <w:top w:val="single" w:sz="6" w:space="0" w:color="auto"/>
              <w:left w:val="single" w:sz="12" w:space="0" w:color="auto"/>
              <w:bottom w:val="single" w:sz="6" w:space="0" w:color="auto"/>
              <w:right w:val="single" w:sz="6" w:space="0" w:color="auto"/>
            </w:tcBorders>
          </w:tcPr>
          <w:p w14:paraId="3C841D0A" w14:textId="77777777" w:rsidR="005508F0" w:rsidRPr="00847BF4" w:rsidRDefault="00672CBD" w:rsidP="002D71D9">
            <w:pPr>
              <w:pStyle w:val="TableTextEV"/>
              <w:spacing w:line="276" w:lineRule="auto"/>
              <w:rPr>
                <w:rFonts w:cs="Times New Roman"/>
                <w:bCs/>
                <w:sz w:val="20"/>
                <w:szCs w:val="24"/>
                <w:lang w:eastAsia="cs-CZ"/>
              </w:rPr>
            </w:pPr>
            <w:r w:rsidRPr="00847BF4">
              <w:rPr>
                <w:rFonts w:cs="Times New Roman"/>
                <w:bCs/>
                <w:sz w:val="20"/>
                <w:szCs w:val="24"/>
                <w:lang w:eastAsia="cs-CZ"/>
              </w:rPr>
              <w:t>3</w:t>
            </w:r>
            <w:r w:rsidR="002D71D9" w:rsidRPr="00847BF4">
              <w:rPr>
                <w:rFonts w:cs="Times New Roman"/>
                <w:bCs/>
                <w:sz w:val="20"/>
                <w:szCs w:val="24"/>
                <w:lang w:eastAsia="cs-CZ"/>
              </w:rPr>
              <w:t>3</w:t>
            </w:r>
          </w:p>
        </w:tc>
        <w:tc>
          <w:tcPr>
            <w:tcW w:w="2208" w:type="pct"/>
            <w:tcBorders>
              <w:top w:val="single" w:sz="6" w:space="0" w:color="auto"/>
              <w:left w:val="single" w:sz="12" w:space="0" w:color="auto"/>
              <w:bottom w:val="single" w:sz="6" w:space="0" w:color="auto"/>
              <w:right w:val="single" w:sz="6" w:space="0" w:color="auto"/>
            </w:tcBorders>
            <w:hideMark/>
          </w:tcPr>
          <w:p w14:paraId="09F1E298" w14:textId="77777777" w:rsidR="005508F0" w:rsidRPr="00847BF4" w:rsidRDefault="005508F0" w:rsidP="00447CF3">
            <w:pPr>
              <w:pStyle w:val="TableTextEV"/>
              <w:spacing w:line="276" w:lineRule="auto"/>
              <w:rPr>
                <w:rFonts w:cs="Times New Roman"/>
                <w:bCs/>
                <w:sz w:val="20"/>
                <w:szCs w:val="24"/>
                <w:lang w:eastAsia="cs-CZ"/>
              </w:rPr>
            </w:pPr>
            <w:r w:rsidRPr="00847BF4">
              <w:rPr>
                <w:rFonts w:cs="Times New Roman"/>
                <w:bCs/>
                <w:sz w:val="20"/>
                <w:szCs w:val="24"/>
                <w:lang w:eastAsia="cs-CZ"/>
              </w:rPr>
              <w:t>Odpovědnost za újmu způsobenou nezákonným rozhodnutím nebo nesprávným úředním postupem</w:t>
            </w:r>
          </w:p>
          <w:p w14:paraId="335AD223" w14:textId="77777777" w:rsidR="00E90365" w:rsidRPr="00847BF4" w:rsidRDefault="00E90365" w:rsidP="00447CF3">
            <w:pPr>
              <w:pStyle w:val="TableTextEV"/>
              <w:spacing w:line="276" w:lineRule="auto"/>
              <w:rPr>
                <w:rFonts w:cs="Times New Roman"/>
                <w:bCs/>
                <w:sz w:val="20"/>
                <w:szCs w:val="24"/>
                <w:lang w:eastAsia="cs-CZ"/>
              </w:rPr>
            </w:pPr>
          </w:p>
        </w:tc>
        <w:tc>
          <w:tcPr>
            <w:tcW w:w="1030" w:type="pct"/>
            <w:tcBorders>
              <w:top w:val="single" w:sz="6" w:space="0" w:color="auto"/>
              <w:left w:val="single" w:sz="6" w:space="0" w:color="auto"/>
              <w:bottom w:val="single" w:sz="6" w:space="0" w:color="auto"/>
              <w:right w:val="single" w:sz="6" w:space="0" w:color="auto"/>
            </w:tcBorders>
            <w:vAlign w:val="center"/>
            <w:hideMark/>
          </w:tcPr>
          <w:p w14:paraId="3E3C69D3" w14:textId="77777777" w:rsidR="005508F0" w:rsidRPr="00847BF4" w:rsidRDefault="005508F0">
            <w:pPr>
              <w:pStyle w:val="TextTabulkyRespect"/>
              <w:suppressAutoHyphens/>
              <w:spacing w:line="320" w:lineRule="atLeast"/>
              <w:jc w:val="right"/>
              <w:rPr>
                <w:szCs w:val="20"/>
              </w:rPr>
            </w:pPr>
            <w:r w:rsidRPr="00847BF4">
              <w:rPr>
                <w:szCs w:val="20"/>
              </w:rPr>
              <w:t>5.000.000</w:t>
            </w:r>
          </w:p>
        </w:tc>
        <w:tc>
          <w:tcPr>
            <w:tcW w:w="1386" w:type="pct"/>
            <w:tcBorders>
              <w:top w:val="single" w:sz="6" w:space="0" w:color="auto"/>
              <w:left w:val="single" w:sz="6" w:space="0" w:color="auto"/>
              <w:bottom w:val="single" w:sz="6" w:space="0" w:color="auto"/>
              <w:right w:val="single" w:sz="12" w:space="0" w:color="auto"/>
            </w:tcBorders>
            <w:vAlign w:val="center"/>
          </w:tcPr>
          <w:p w14:paraId="2EB486B7" w14:textId="3E726E2F"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0D3E9A99" w14:textId="77777777" w:rsidTr="002D71D9">
        <w:trPr>
          <w:trHeight w:val="409"/>
        </w:trPr>
        <w:tc>
          <w:tcPr>
            <w:tcW w:w="376" w:type="pct"/>
            <w:tcBorders>
              <w:top w:val="single" w:sz="6" w:space="0" w:color="auto"/>
              <w:left w:val="single" w:sz="12" w:space="0" w:color="auto"/>
              <w:bottom w:val="single" w:sz="6" w:space="0" w:color="auto"/>
              <w:right w:val="single" w:sz="6" w:space="0" w:color="auto"/>
            </w:tcBorders>
          </w:tcPr>
          <w:p w14:paraId="5D4E7C0A" w14:textId="77777777" w:rsidR="005508F0" w:rsidRPr="00847BF4" w:rsidRDefault="00672CBD" w:rsidP="002D71D9">
            <w:pPr>
              <w:pStyle w:val="TableTextEV"/>
              <w:spacing w:line="276" w:lineRule="auto"/>
              <w:rPr>
                <w:rFonts w:cs="Times New Roman"/>
                <w:bCs/>
                <w:sz w:val="20"/>
                <w:szCs w:val="24"/>
                <w:lang w:eastAsia="cs-CZ"/>
              </w:rPr>
            </w:pPr>
            <w:r w:rsidRPr="00847BF4">
              <w:rPr>
                <w:rFonts w:cs="Times New Roman"/>
                <w:bCs/>
                <w:sz w:val="20"/>
                <w:szCs w:val="24"/>
                <w:lang w:eastAsia="cs-CZ"/>
              </w:rPr>
              <w:t>3</w:t>
            </w:r>
            <w:r w:rsidR="002D71D9" w:rsidRPr="00847BF4">
              <w:rPr>
                <w:rFonts w:cs="Times New Roman"/>
                <w:bCs/>
                <w:sz w:val="20"/>
                <w:szCs w:val="24"/>
                <w:lang w:eastAsia="cs-CZ"/>
              </w:rPr>
              <w:t>4</w:t>
            </w:r>
          </w:p>
        </w:tc>
        <w:tc>
          <w:tcPr>
            <w:tcW w:w="2208" w:type="pct"/>
            <w:tcBorders>
              <w:top w:val="single" w:sz="6" w:space="0" w:color="auto"/>
              <w:left w:val="single" w:sz="12" w:space="0" w:color="auto"/>
              <w:bottom w:val="single" w:sz="6" w:space="0" w:color="auto"/>
              <w:right w:val="single" w:sz="6" w:space="0" w:color="auto"/>
            </w:tcBorders>
            <w:hideMark/>
          </w:tcPr>
          <w:p w14:paraId="26F9816C" w14:textId="77777777" w:rsidR="005508F0" w:rsidRPr="00847BF4" w:rsidRDefault="005508F0" w:rsidP="00447CF3">
            <w:pPr>
              <w:pStyle w:val="TableTextEV"/>
              <w:spacing w:line="276" w:lineRule="auto"/>
              <w:rPr>
                <w:rFonts w:cs="Times New Roman"/>
                <w:bCs/>
                <w:sz w:val="20"/>
                <w:szCs w:val="24"/>
                <w:lang w:eastAsia="cs-CZ"/>
              </w:rPr>
            </w:pPr>
            <w:r w:rsidRPr="00847BF4">
              <w:rPr>
                <w:rFonts w:cs="Times New Roman"/>
                <w:bCs/>
                <w:sz w:val="20"/>
                <w:szCs w:val="24"/>
                <w:lang w:eastAsia="cs-CZ"/>
              </w:rPr>
              <w:t xml:space="preserve">Odpovědnost za genetické poškození </w:t>
            </w:r>
            <w:r w:rsidRPr="00847BF4">
              <w:rPr>
                <w:rFonts w:cs="Times New Roman"/>
                <w:bCs/>
                <w:sz w:val="20"/>
                <w:szCs w:val="24"/>
                <w:lang w:eastAsia="cs-CZ"/>
              </w:rPr>
              <w:lastRenderedPageBreak/>
              <w:t>jakéhokoliv původů, genetickými změnami organismů nebo geneticky modifikovanými organismy;</w:t>
            </w:r>
          </w:p>
        </w:tc>
        <w:tc>
          <w:tcPr>
            <w:tcW w:w="1030" w:type="pct"/>
            <w:tcBorders>
              <w:top w:val="single" w:sz="6" w:space="0" w:color="auto"/>
              <w:left w:val="single" w:sz="6" w:space="0" w:color="auto"/>
              <w:bottom w:val="single" w:sz="6" w:space="0" w:color="auto"/>
              <w:right w:val="single" w:sz="6" w:space="0" w:color="auto"/>
            </w:tcBorders>
            <w:vAlign w:val="center"/>
            <w:hideMark/>
          </w:tcPr>
          <w:p w14:paraId="4CE6D464" w14:textId="77777777" w:rsidR="005508F0" w:rsidRPr="00847BF4" w:rsidRDefault="005508F0">
            <w:pPr>
              <w:pStyle w:val="TextTabulkyRespect"/>
              <w:suppressAutoHyphens/>
              <w:spacing w:line="320" w:lineRule="atLeast"/>
              <w:jc w:val="right"/>
              <w:rPr>
                <w:szCs w:val="20"/>
              </w:rPr>
            </w:pPr>
            <w:r w:rsidRPr="00847BF4">
              <w:rPr>
                <w:szCs w:val="20"/>
              </w:rPr>
              <w:lastRenderedPageBreak/>
              <w:t>5.000.000</w:t>
            </w:r>
          </w:p>
        </w:tc>
        <w:tc>
          <w:tcPr>
            <w:tcW w:w="1386" w:type="pct"/>
            <w:tcBorders>
              <w:top w:val="single" w:sz="6" w:space="0" w:color="auto"/>
              <w:left w:val="single" w:sz="6" w:space="0" w:color="auto"/>
              <w:bottom w:val="single" w:sz="6" w:space="0" w:color="auto"/>
              <w:right w:val="single" w:sz="12" w:space="0" w:color="auto"/>
            </w:tcBorders>
            <w:vAlign w:val="center"/>
          </w:tcPr>
          <w:p w14:paraId="4E6ED718" w14:textId="46F9D30C" w:rsidR="005508F0" w:rsidRPr="00847BF4" w:rsidRDefault="00290C65">
            <w:pPr>
              <w:pStyle w:val="TextTabulkyRespect"/>
              <w:suppressAutoHyphens/>
              <w:spacing w:line="320" w:lineRule="atLeast"/>
              <w:jc w:val="right"/>
              <w:rPr>
                <w:szCs w:val="20"/>
              </w:rPr>
            </w:pPr>
            <w:r w:rsidRPr="00847BF4">
              <w:rPr>
                <w:szCs w:val="20"/>
              </w:rPr>
              <w:t>250.000</w:t>
            </w:r>
          </w:p>
        </w:tc>
      </w:tr>
      <w:tr w:rsidR="00847BF4" w:rsidRPr="00847BF4" w14:paraId="4BED801D"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35BDA21F" w14:textId="77777777" w:rsidR="005508F0" w:rsidRPr="00847BF4" w:rsidRDefault="00672CBD" w:rsidP="002D71D9">
            <w:pPr>
              <w:pStyle w:val="TableTextEV"/>
              <w:spacing w:line="276" w:lineRule="auto"/>
              <w:rPr>
                <w:sz w:val="20"/>
              </w:rPr>
            </w:pPr>
            <w:r w:rsidRPr="00847BF4">
              <w:rPr>
                <w:sz w:val="20"/>
              </w:rPr>
              <w:t>3</w:t>
            </w:r>
            <w:r w:rsidR="002D71D9" w:rsidRPr="00847BF4">
              <w:rPr>
                <w:sz w:val="20"/>
              </w:rPr>
              <w:t>5</w:t>
            </w:r>
          </w:p>
        </w:tc>
        <w:tc>
          <w:tcPr>
            <w:tcW w:w="2208" w:type="pct"/>
            <w:tcBorders>
              <w:top w:val="single" w:sz="6" w:space="0" w:color="auto"/>
              <w:left w:val="single" w:sz="12" w:space="0" w:color="auto"/>
              <w:bottom w:val="single" w:sz="6" w:space="0" w:color="auto"/>
              <w:right w:val="single" w:sz="6" w:space="0" w:color="auto"/>
            </w:tcBorders>
          </w:tcPr>
          <w:p w14:paraId="47013E20" w14:textId="38A33412" w:rsidR="005508F0" w:rsidRPr="00847BF4" w:rsidRDefault="005508F0" w:rsidP="00E83D6B">
            <w:pPr>
              <w:pStyle w:val="TableTextEV"/>
              <w:spacing w:line="276" w:lineRule="auto"/>
              <w:rPr>
                <w:bCs/>
                <w:sz w:val="20"/>
                <w:lang w:eastAsia="cs-CZ"/>
              </w:rPr>
            </w:pPr>
            <w:r w:rsidRPr="00847BF4">
              <w:rPr>
                <w:sz w:val="20"/>
              </w:rPr>
              <w:t xml:space="preserve">Dotčením práva na ochranu osobnosti člověka nebo právní osobnosti právnické osoby při poskytování zdravotní péče jinak než dotčením práva na ochranu života nebo zdraví, </w:t>
            </w:r>
          </w:p>
        </w:tc>
        <w:tc>
          <w:tcPr>
            <w:tcW w:w="1030" w:type="pct"/>
            <w:tcBorders>
              <w:top w:val="single" w:sz="6" w:space="0" w:color="auto"/>
              <w:left w:val="single" w:sz="6" w:space="0" w:color="auto"/>
              <w:bottom w:val="single" w:sz="6" w:space="0" w:color="auto"/>
              <w:right w:val="single" w:sz="6" w:space="0" w:color="auto"/>
            </w:tcBorders>
            <w:vAlign w:val="center"/>
          </w:tcPr>
          <w:p w14:paraId="15B93AAD" w14:textId="77777777" w:rsidR="005508F0" w:rsidRPr="00847BF4" w:rsidRDefault="005508F0">
            <w:pPr>
              <w:pStyle w:val="TextTabulkyRespect"/>
              <w:suppressAutoHyphens/>
              <w:spacing w:line="320" w:lineRule="atLeast"/>
              <w:jc w:val="right"/>
              <w:rPr>
                <w:rFonts w:cs="Arial"/>
                <w:bCs/>
                <w:szCs w:val="20"/>
              </w:rPr>
            </w:pPr>
            <w:r w:rsidRPr="00847BF4">
              <w:rPr>
                <w:rFonts w:cs="Arial"/>
                <w:bCs/>
                <w:szCs w:val="20"/>
              </w:rPr>
              <w:t>10.000.000</w:t>
            </w:r>
          </w:p>
        </w:tc>
        <w:tc>
          <w:tcPr>
            <w:tcW w:w="1386" w:type="pct"/>
            <w:tcBorders>
              <w:top w:val="single" w:sz="6" w:space="0" w:color="auto"/>
              <w:left w:val="single" w:sz="6" w:space="0" w:color="auto"/>
              <w:bottom w:val="single" w:sz="6" w:space="0" w:color="auto"/>
              <w:right w:val="single" w:sz="12" w:space="0" w:color="auto"/>
            </w:tcBorders>
            <w:vAlign w:val="center"/>
          </w:tcPr>
          <w:p w14:paraId="666E9B6A" w14:textId="77777777" w:rsidR="00E90365" w:rsidRPr="00847BF4" w:rsidRDefault="00E90365" w:rsidP="00E90365">
            <w:pPr>
              <w:pStyle w:val="TextTabulkyRespect"/>
              <w:suppressAutoHyphens/>
              <w:spacing w:line="320" w:lineRule="atLeast"/>
              <w:jc w:val="right"/>
              <w:rPr>
                <w:szCs w:val="20"/>
              </w:rPr>
            </w:pPr>
            <w:r w:rsidRPr="00847BF4">
              <w:rPr>
                <w:szCs w:val="20"/>
              </w:rPr>
              <w:t>250.000</w:t>
            </w:r>
          </w:p>
          <w:p w14:paraId="3C4D2E1D" w14:textId="77777777" w:rsidR="00E90365" w:rsidRPr="00847BF4" w:rsidRDefault="00E90365" w:rsidP="00E90365">
            <w:pPr>
              <w:pStyle w:val="TextTabulkyRespect"/>
              <w:suppressAutoHyphens/>
              <w:spacing w:line="320" w:lineRule="atLeast"/>
              <w:jc w:val="right"/>
              <w:rPr>
                <w:szCs w:val="20"/>
              </w:rPr>
            </w:pPr>
          </w:p>
          <w:p w14:paraId="7E0CCBA5" w14:textId="63CEA737" w:rsidR="005508F0" w:rsidRPr="00847BF4" w:rsidRDefault="00E90365" w:rsidP="00E90365">
            <w:pPr>
              <w:pStyle w:val="TextTabulkyRespect"/>
              <w:suppressAutoHyphens/>
              <w:spacing w:line="320" w:lineRule="atLeast"/>
              <w:jc w:val="right"/>
              <w:rPr>
                <w:szCs w:val="20"/>
              </w:rPr>
            </w:pPr>
            <w:r w:rsidRPr="00847BF4">
              <w:rPr>
                <w:szCs w:val="20"/>
              </w:rPr>
              <w:t xml:space="preserve">Pro obor gynekologie-porodnictví a neonatologie </w:t>
            </w:r>
            <w:proofErr w:type="gramStart"/>
            <w:r w:rsidRPr="00847BF4">
              <w:rPr>
                <w:szCs w:val="20"/>
              </w:rPr>
              <w:t>10%</w:t>
            </w:r>
            <w:proofErr w:type="gramEnd"/>
            <w:r w:rsidRPr="00847BF4">
              <w:rPr>
                <w:szCs w:val="20"/>
              </w:rPr>
              <w:t xml:space="preserve"> min. 500.000</w:t>
            </w:r>
          </w:p>
        </w:tc>
      </w:tr>
      <w:tr w:rsidR="00847BF4" w:rsidRPr="00847BF4" w14:paraId="73084A35"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7158A615" w14:textId="77777777" w:rsidR="005508F0" w:rsidRPr="00847BF4" w:rsidRDefault="002D71D9" w:rsidP="002D71D9">
            <w:pPr>
              <w:pStyle w:val="TableTextEV"/>
              <w:spacing w:line="276" w:lineRule="auto"/>
              <w:rPr>
                <w:sz w:val="20"/>
              </w:rPr>
            </w:pPr>
            <w:r w:rsidRPr="00847BF4">
              <w:rPr>
                <w:sz w:val="20"/>
              </w:rPr>
              <w:t>36</w:t>
            </w:r>
          </w:p>
        </w:tc>
        <w:tc>
          <w:tcPr>
            <w:tcW w:w="2208" w:type="pct"/>
            <w:tcBorders>
              <w:top w:val="single" w:sz="6" w:space="0" w:color="auto"/>
              <w:left w:val="single" w:sz="12" w:space="0" w:color="auto"/>
              <w:bottom w:val="single" w:sz="6" w:space="0" w:color="auto"/>
              <w:right w:val="single" w:sz="6" w:space="0" w:color="auto"/>
            </w:tcBorders>
          </w:tcPr>
          <w:p w14:paraId="70E873C1" w14:textId="77777777" w:rsidR="005508F0" w:rsidRPr="00847BF4" w:rsidRDefault="005508F0" w:rsidP="00447CF3">
            <w:pPr>
              <w:pStyle w:val="TableTextEV"/>
              <w:spacing w:line="276" w:lineRule="auto"/>
              <w:rPr>
                <w:sz w:val="20"/>
              </w:rPr>
            </w:pPr>
            <w:r w:rsidRPr="00847BF4">
              <w:rPr>
                <w:sz w:val="20"/>
              </w:rPr>
              <w:t>Odpovědnost za újmu způsobenou jinak než na životě, zdraví nebo věci, tzv. čisté finanční škody</w:t>
            </w:r>
          </w:p>
        </w:tc>
        <w:tc>
          <w:tcPr>
            <w:tcW w:w="1030" w:type="pct"/>
            <w:tcBorders>
              <w:top w:val="single" w:sz="6" w:space="0" w:color="auto"/>
              <w:left w:val="single" w:sz="6" w:space="0" w:color="auto"/>
              <w:bottom w:val="single" w:sz="6" w:space="0" w:color="auto"/>
              <w:right w:val="single" w:sz="6" w:space="0" w:color="auto"/>
            </w:tcBorders>
            <w:vAlign w:val="center"/>
          </w:tcPr>
          <w:p w14:paraId="20ADA455" w14:textId="77777777" w:rsidR="005508F0" w:rsidRPr="00847BF4" w:rsidRDefault="005508F0">
            <w:pPr>
              <w:pStyle w:val="TextTabulkyRespect"/>
              <w:suppressAutoHyphens/>
              <w:spacing w:line="320" w:lineRule="atLeast"/>
              <w:jc w:val="right"/>
              <w:rPr>
                <w:rFonts w:cs="Arial"/>
                <w:bCs/>
                <w:szCs w:val="20"/>
              </w:rPr>
            </w:pPr>
            <w:r w:rsidRPr="00847BF4">
              <w:rPr>
                <w:rFonts w:cs="Arial"/>
                <w:bCs/>
                <w:szCs w:val="20"/>
              </w:rPr>
              <w:t>10.000.000</w:t>
            </w:r>
          </w:p>
        </w:tc>
        <w:tc>
          <w:tcPr>
            <w:tcW w:w="1386" w:type="pct"/>
            <w:tcBorders>
              <w:top w:val="single" w:sz="6" w:space="0" w:color="auto"/>
              <w:left w:val="single" w:sz="6" w:space="0" w:color="auto"/>
              <w:bottom w:val="single" w:sz="6" w:space="0" w:color="auto"/>
              <w:right w:val="single" w:sz="12" w:space="0" w:color="auto"/>
            </w:tcBorders>
            <w:vAlign w:val="center"/>
          </w:tcPr>
          <w:p w14:paraId="4086160A" w14:textId="79224241" w:rsidR="005508F0" w:rsidRPr="00847BF4" w:rsidRDefault="00290C65">
            <w:pPr>
              <w:pStyle w:val="TextTabulkyRespect"/>
              <w:suppressAutoHyphens/>
              <w:spacing w:line="320" w:lineRule="atLeast"/>
              <w:jc w:val="right"/>
              <w:rPr>
                <w:rFonts w:cs="Arial"/>
                <w:szCs w:val="20"/>
              </w:rPr>
            </w:pPr>
            <w:r w:rsidRPr="00847BF4">
              <w:rPr>
                <w:szCs w:val="20"/>
              </w:rPr>
              <w:t>250.000</w:t>
            </w:r>
          </w:p>
        </w:tc>
      </w:tr>
      <w:tr w:rsidR="00847BF4" w:rsidRPr="00847BF4" w14:paraId="34CD867B" w14:textId="77777777" w:rsidTr="001B638A">
        <w:trPr>
          <w:trHeight w:val="409"/>
        </w:trPr>
        <w:tc>
          <w:tcPr>
            <w:tcW w:w="376" w:type="pct"/>
            <w:tcBorders>
              <w:top w:val="single" w:sz="6" w:space="0" w:color="auto"/>
              <w:left w:val="single" w:sz="12" w:space="0" w:color="auto"/>
              <w:bottom w:val="single" w:sz="6" w:space="0" w:color="auto"/>
              <w:right w:val="single" w:sz="6" w:space="0" w:color="auto"/>
            </w:tcBorders>
          </w:tcPr>
          <w:p w14:paraId="3A0B9AD9" w14:textId="45634563" w:rsidR="00E83D6B" w:rsidRPr="00847BF4" w:rsidRDefault="00E83D6B" w:rsidP="002D71D9">
            <w:pPr>
              <w:pStyle w:val="TableTextEV"/>
              <w:spacing w:line="276" w:lineRule="auto"/>
              <w:rPr>
                <w:sz w:val="20"/>
              </w:rPr>
            </w:pPr>
            <w:r w:rsidRPr="00847BF4">
              <w:rPr>
                <w:sz w:val="20"/>
              </w:rPr>
              <w:t>37</w:t>
            </w:r>
          </w:p>
        </w:tc>
        <w:tc>
          <w:tcPr>
            <w:tcW w:w="2208" w:type="pct"/>
            <w:tcBorders>
              <w:top w:val="single" w:sz="6" w:space="0" w:color="auto"/>
              <w:left w:val="single" w:sz="12" w:space="0" w:color="auto"/>
              <w:bottom w:val="single" w:sz="6" w:space="0" w:color="auto"/>
              <w:right w:val="single" w:sz="6" w:space="0" w:color="auto"/>
            </w:tcBorders>
          </w:tcPr>
          <w:p w14:paraId="6A40595C" w14:textId="4BACF5EC" w:rsidR="00E83D6B" w:rsidRPr="00847BF4" w:rsidRDefault="00E83D6B" w:rsidP="00447CF3">
            <w:pPr>
              <w:pStyle w:val="TableTextEV"/>
              <w:spacing w:line="276" w:lineRule="auto"/>
              <w:rPr>
                <w:sz w:val="20"/>
              </w:rPr>
            </w:pPr>
            <w:r w:rsidRPr="00847BF4">
              <w:rPr>
                <w:sz w:val="20"/>
              </w:rPr>
              <w:t>Odpovědnosti členů orgánů za jinou než čistou finanční škodu – věci užívané</w:t>
            </w:r>
          </w:p>
        </w:tc>
        <w:tc>
          <w:tcPr>
            <w:tcW w:w="1030" w:type="pct"/>
            <w:tcBorders>
              <w:top w:val="single" w:sz="6" w:space="0" w:color="auto"/>
              <w:left w:val="single" w:sz="6" w:space="0" w:color="auto"/>
              <w:bottom w:val="single" w:sz="6" w:space="0" w:color="auto"/>
              <w:right w:val="single" w:sz="6" w:space="0" w:color="auto"/>
            </w:tcBorders>
            <w:vAlign w:val="center"/>
          </w:tcPr>
          <w:p w14:paraId="41B11928" w14:textId="0C69BAF7" w:rsidR="00E83D6B" w:rsidRPr="00847BF4" w:rsidRDefault="00E83D6B">
            <w:pPr>
              <w:pStyle w:val="TextTabulkyRespect"/>
              <w:suppressAutoHyphens/>
              <w:spacing w:line="320" w:lineRule="atLeast"/>
              <w:jc w:val="right"/>
              <w:rPr>
                <w:rFonts w:cs="Arial"/>
                <w:bCs/>
                <w:szCs w:val="20"/>
              </w:rPr>
            </w:pPr>
            <w:r w:rsidRPr="00847BF4">
              <w:rPr>
                <w:rFonts w:cs="Arial"/>
                <w:bCs/>
                <w:szCs w:val="20"/>
              </w:rPr>
              <w:t>1.000.000</w:t>
            </w:r>
          </w:p>
        </w:tc>
        <w:tc>
          <w:tcPr>
            <w:tcW w:w="1386" w:type="pct"/>
            <w:tcBorders>
              <w:top w:val="single" w:sz="6" w:space="0" w:color="auto"/>
              <w:left w:val="single" w:sz="6" w:space="0" w:color="auto"/>
              <w:bottom w:val="single" w:sz="6" w:space="0" w:color="auto"/>
              <w:right w:val="single" w:sz="12" w:space="0" w:color="auto"/>
            </w:tcBorders>
            <w:vAlign w:val="center"/>
          </w:tcPr>
          <w:p w14:paraId="421EDB3D" w14:textId="6E72C124" w:rsidR="00E83D6B" w:rsidRPr="00847BF4" w:rsidRDefault="00E83D6B">
            <w:pPr>
              <w:pStyle w:val="TextTabulkyRespect"/>
              <w:suppressAutoHyphens/>
              <w:spacing w:line="320" w:lineRule="atLeast"/>
              <w:jc w:val="right"/>
              <w:rPr>
                <w:szCs w:val="20"/>
              </w:rPr>
            </w:pPr>
            <w:r w:rsidRPr="00847BF4">
              <w:rPr>
                <w:szCs w:val="20"/>
              </w:rPr>
              <w:t>1.000</w:t>
            </w:r>
          </w:p>
        </w:tc>
      </w:tr>
    </w:tbl>
    <w:p w14:paraId="2013C586" w14:textId="77777777" w:rsidR="008B0B5A" w:rsidRPr="00D43868" w:rsidRDefault="00B31986" w:rsidP="00D43868">
      <w:pPr>
        <w:rPr>
          <w:b/>
        </w:rPr>
      </w:pPr>
      <w:r w:rsidRPr="00847BF4">
        <w:rPr>
          <w:rFonts w:ascii="Calibri" w:hAnsi="Calibri" w:cs="Calibri"/>
          <w:sz w:val="24"/>
          <w:szCs w:val="24"/>
        </w:rPr>
        <w:t xml:space="preserve">                                                     </w:t>
      </w:r>
      <w:r w:rsidR="002A360D" w:rsidRPr="00847BF4">
        <w:rPr>
          <w:rFonts w:ascii="Calibri" w:hAnsi="Calibri" w:cs="Calibri"/>
          <w:sz w:val="24"/>
          <w:szCs w:val="24"/>
        </w:rPr>
        <w:t xml:space="preserve">                                                                                                                          </w:t>
      </w:r>
      <w:r w:rsidR="002A360D" w:rsidRPr="00A17C16">
        <w:rPr>
          <w:rFonts w:ascii="Calibri" w:hAnsi="Calibri" w:cs="Calibri"/>
          <w:sz w:val="24"/>
          <w:szCs w:val="24"/>
        </w:rPr>
        <w:t xml:space="preserve">     </w:t>
      </w:r>
      <w:r w:rsidR="004A1049" w:rsidRPr="00A17C16">
        <w:rPr>
          <w:rFonts w:ascii="Calibri" w:hAnsi="Calibri" w:cs="Calibri"/>
          <w:sz w:val="24"/>
          <w:szCs w:val="24"/>
        </w:rPr>
        <w:t xml:space="preserve">       </w:t>
      </w:r>
      <w:r w:rsidR="007656E2" w:rsidRPr="00A17C16">
        <w:rPr>
          <w:rFonts w:ascii="Calibri" w:hAnsi="Calibri" w:cs="Calibri"/>
          <w:sz w:val="24"/>
          <w:szCs w:val="24"/>
        </w:rPr>
        <w:t xml:space="preserve">  </w:t>
      </w:r>
      <w:r w:rsidR="004A1049" w:rsidRPr="00A17C16">
        <w:rPr>
          <w:rFonts w:ascii="Calibri" w:hAnsi="Calibri" w:cs="Calibri"/>
          <w:sz w:val="24"/>
          <w:szCs w:val="24"/>
        </w:rPr>
        <w:t xml:space="preserve">       </w:t>
      </w:r>
      <w:r w:rsidR="007656E2" w:rsidRPr="00A17C16">
        <w:rPr>
          <w:rFonts w:ascii="Calibri" w:hAnsi="Calibri" w:cs="Calibri"/>
          <w:sz w:val="24"/>
          <w:szCs w:val="24"/>
        </w:rPr>
        <w:t xml:space="preserve">                                                       </w:t>
      </w:r>
    </w:p>
    <w:p w14:paraId="318D594E" w14:textId="77777777" w:rsidR="009A4D46" w:rsidRPr="00A17C16" w:rsidRDefault="009A4D46" w:rsidP="004A1049">
      <w:pPr>
        <w:pStyle w:val="TableText"/>
        <w:rPr>
          <w:rFonts w:ascii="Calibri" w:hAnsi="Calibri" w:cs="Calibri"/>
          <w:sz w:val="24"/>
          <w:szCs w:val="24"/>
        </w:rPr>
      </w:pPr>
      <w:r w:rsidRPr="00A17C16">
        <w:rPr>
          <w:rFonts w:ascii="Calibri" w:hAnsi="Calibri" w:cs="Calibri"/>
          <w:sz w:val="24"/>
          <w:szCs w:val="24"/>
        </w:rPr>
        <w:t xml:space="preserve"> </w:t>
      </w:r>
    </w:p>
    <w:p w14:paraId="16A7E4F3" w14:textId="77777777" w:rsidR="009A4D46" w:rsidRPr="00A17C16" w:rsidRDefault="009A4D46" w:rsidP="009A4D46">
      <w:pPr>
        <w:spacing w:line="240" w:lineRule="auto"/>
        <w:ind w:left="720"/>
        <w:jc w:val="both"/>
        <w:rPr>
          <w:rFonts w:ascii="Calibri" w:hAnsi="Calibri" w:cs="Calibri"/>
          <w:sz w:val="24"/>
          <w:szCs w:val="24"/>
        </w:rPr>
      </w:pPr>
    </w:p>
    <w:p w14:paraId="1E27D9CA" w14:textId="77777777" w:rsidR="00815BE4" w:rsidRDefault="00815BE4" w:rsidP="00F6772C">
      <w:pPr>
        <w:pStyle w:val="TableText"/>
        <w:rPr>
          <w:rFonts w:ascii="Calibri" w:hAnsi="Calibri" w:cs="Calibri"/>
          <w:sz w:val="24"/>
          <w:szCs w:val="24"/>
        </w:rPr>
      </w:pPr>
    </w:p>
    <w:p w14:paraId="79DADF17" w14:textId="77777777" w:rsidR="00815BE4" w:rsidRPr="00DE55A6" w:rsidRDefault="00DE55A6" w:rsidP="00F6772C">
      <w:pPr>
        <w:pStyle w:val="TableText"/>
        <w:rPr>
          <w:rFonts w:ascii="Calibri" w:hAnsi="Calibri" w:cs="Calibri"/>
          <w:b/>
          <w:sz w:val="24"/>
          <w:szCs w:val="24"/>
        </w:rPr>
      </w:pPr>
      <w:r w:rsidRPr="00DE55A6">
        <w:rPr>
          <w:rFonts w:ascii="Calibri" w:hAnsi="Calibri" w:cs="Calibri"/>
          <w:b/>
          <w:sz w:val="24"/>
          <w:szCs w:val="24"/>
        </w:rPr>
        <w:t>Ostatní údaje</w:t>
      </w:r>
    </w:p>
    <w:p w14:paraId="5CAD64D9" w14:textId="77777777" w:rsidR="00DE55A6" w:rsidRPr="00815BE4" w:rsidRDefault="00DE55A6" w:rsidP="00F6772C">
      <w:pPr>
        <w:pStyle w:val="TableText"/>
        <w:rPr>
          <w:rFonts w:ascii="Calibri" w:hAnsi="Calibri" w:cs="Calibri"/>
          <w:sz w:val="24"/>
          <w:szCs w:val="24"/>
        </w:rPr>
      </w:pPr>
    </w:p>
    <w:p w14:paraId="0302BD77" w14:textId="3DCB05B3" w:rsidR="00347453" w:rsidRPr="00FE03F3" w:rsidRDefault="009142A0" w:rsidP="00347453">
      <w:pPr>
        <w:pStyle w:val="TableText"/>
        <w:rPr>
          <w:rFonts w:ascii="Calibri" w:hAnsi="Calibri" w:cs="Calibri"/>
          <w:color w:val="FF0000"/>
          <w:sz w:val="22"/>
          <w:szCs w:val="22"/>
        </w:rPr>
      </w:pPr>
      <w:r w:rsidRPr="00FE03F3">
        <w:rPr>
          <w:rFonts w:ascii="Calibri" w:hAnsi="Calibri" w:cs="Calibri"/>
          <w:sz w:val="22"/>
          <w:szCs w:val="22"/>
        </w:rPr>
        <w:t>Příjmy celkem za rok 201</w:t>
      </w:r>
      <w:r w:rsidR="007C4FD7" w:rsidRPr="00FE03F3">
        <w:rPr>
          <w:rFonts w:ascii="Calibri" w:hAnsi="Calibri" w:cs="Calibri"/>
          <w:sz w:val="22"/>
          <w:szCs w:val="22"/>
        </w:rPr>
        <w:t>9</w:t>
      </w:r>
      <w:r w:rsidRPr="00FE03F3">
        <w:rPr>
          <w:rFonts w:ascii="Calibri" w:hAnsi="Calibri" w:cs="Calibri"/>
          <w:sz w:val="22"/>
          <w:szCs w:val="22"/>
        </w:rPr>
        <w:t xml:space="preserve"> (z hlavní i hospodářské činnosti</w:t>
      </w:r>
      <w:r w:rsidR="00FE03F3">
        <w:rPr>
          <w:rFonts w:ascii="Calibri" w:hAnsi="Calibri" w:cs="Calibri"/>
          <w:sz w:val="22"/>
          <w:szCs w:val="22"/>
        </w:rPr>
        <w:tab/>
      </w:r>
      <w:r w:rsidR="00FE03F3">
        <w:rPr>
          <w:rFonts w:ascii="Calibri" w:hAnsi="Calibri" w:cs="Calibri"/>
          <w:sz w:val="22"/>
          <w:szCs w:val="22"/>
        </w:rPr>
        <w:tab/>
      </w:r>
      <w:r w:rsidR="00FE03F3">
        <w:rPr>
          <w:rFonts w:ascii="Calibri" w:hAnsi="Calibri" w:cs="Calibri"/>
          <w:sz w:val="22"/>
          <w:szCs w:val="22"/>
        </w:rPr>
        <w:tab/>
      </w:r>
      <w:r w:rsidR="007C4FD7" w:rsidRPr="00FE03F3">
        <w:rPr>
          <w:rFonts w:ascii="Calibri" w:hAnsi="Calibri" w:cs="Calibri"/>
          <w:sz w:val="22"/>
          <w:szCs w:val="22"/>
        </w:rPr>
        <w:t>4</w:t>
      </w:r>
      <w:r w:rsidR="00735AA6" w:rsidRPr="00FE03F3">
        <w:rPr>
          <w:rFonts w:ascii="Calibri" w:hAnsi="Calibri" w:cs="Calibri"/>
          <w:sz w:val="22"/>
          <w:szCs w:val="22"/>
        </w:rPr>
        <w:t>,</w:t>
      </w:r>
      <w:r w:rsidR="007C4FD7" w:rsidRPr="00FE03F3">
        <w:rPr>
          <w:rFonts w:ascii="Calibri" w:hAnsi="Calibri" w:cs="Calibri"/>
          <w:sz w:val="22"/>
          <w:szCs w:val="22"/>
        </w:rPr>
        <w:t>908</w:t>
      </w:r>
      <w:r w:rsidR="00735AA6" w:rsidRPr="00FE03F3">
        <w:rPr>
          <w:rFonts w:ascii="Calibri" w:hAnsi="Calibri" w:cs="Calibri"/>
          <w:sz w:val="22"/>
          <w:szCs w:val="22"/>
        </w:rPr>
        <w:t>mil.</w:t>
      </w:r>
      <w:r w:rsidR="00347453" w:rsidRPr="00FE03F3">
        <w:rPr>
          <w:rFonts w:ascii="Calibri" w:hAnsi="Calibri" w:cs="Calibri"/>
          <w:sz w:val="22"/>
          <w:szCs w:val="22"/>
        </w:rPr>
        <w:t xml:space="preserve">                                                                                                    </w:t>
      </w:r>
    </w:p>
    <w:p w14:paraId="1B2B2F89" w14:textId="0FD7AC98" w:rsidR="00347453" w:rsidRPr="00FE03F3" w:rsidRDefault="00347453" w:rsidP="00347453">
      <w:pPr>
        <w:pStyle w:val="TableText"/>
        <w:rPr>
          <w:rFonts w:ascii="Calibri" w:hAnsi="Calibri" w:cs="Calibri"/>
          <w:sz w:val="22"/>
          <w:szCs w:val="22"/>
        </w:rPr>
      </w:pPr>
      <w:r w:rsidRPr="00FE03F3">
        <w:rPr>
          <w:rFonts w:ascii="Calibri" w:hAnsi="Calibri" w:cs="Calibri"/>
          <w:sz w:val="22"/>
          <w:szCs w:val="22"/>
        </w:rPr>
        <w:t>Počet lůžek:</w:t>
      </w:r>
      <w:r w:rsidR="00FE03F3">
        <w:rPr>
          <w:rFonts w:ascii="Calibri" w:hAnsi="Calibri" w:cs="Calibri"/>
          <w:sz w:val="22"/>
          <w:szCs w:val="22"/>
        </w:rPr>
        <w:tab/>
      </w:r>
      <w:r w:rsidR="00FE03F3">
        <w:rPr>
          <w:rFonts w:ascii="Calibri" w:hAnsi="Calibri" w:cs="Calibri"/>
          <w:sz w:val="22"/>
          <w:szCs w:val="22"/>
        </w:rPr>
        <w:tab/>
      </w:r>
      <w:r w:rsidR="00FE03F3">
        <w:rPr>
          <w:rFonts w:ascii="Calibri" w:hAnsi="Calibri" w:cs="Calibri"/>
          <w:sz w:val="22"/>
          <w:szCs w:val="22"/>
        </w:rPr>
        <w:tab/>
      </w:r>
      <w:r w:rsidR="00FE03F3">
        <w:rPr>
          <w:rFonts w:ascii="Calibri" w:hAnsi="Calibri" w:cs="Calibri"/>
          <w:sz w:val="22"/>
          <w:szCs w:val="22"/>
        </w:rPr>
        <w:tab/>
      </w:r>
      <w:r w:rsidR="00FE03F3">
        <w:rPr>
          <w:rFonts w:ascii="Calibri" w:hAnsi="Calibri" w:cs="Calibri"/>
          <w:sz w:val="22"/>
          <w:szCs w:val="22"/>
        </w:rPr>
        <w:tab/>
      </w:r>
      <w:r w:rsidR="00FE03F3">
        <w:rPr>
          <w:rFonts w:ascii="Calibri" w:hAnsi="Calibri" w:cs="Calibri"/>
          <w:sz w:val="22"/>
          <w:szCs w:val="22"/>
        </w:rPr>
        <w:tab/>
      </w:r>
      <w:r w:rsidR="00FE03F3">
        <w:rPr>
          <w:rFonts w:ascii="Calibri" w:hAnsi="Calibri" w:cs="Calibri"/>
          <w:sz w:val="22"/>
          <w:szCs w:val="22"/>
        </w:rPr>
        <w:tab/>
      </w:r>
      <w:r w:rsidR="00FE03F3">
        <w:rPr>
          <w:rFonts w:ascii="Calibri" w:hAnsi="Calibri" w:cs="Calibri"/>
          <w:sz w:val="22"/>
          <w:szCs w:val="22"/>
        </w:rPr>
        <w:tab/>
      </w:r>
      <w:r w:rsidR="00FE03F3">
        <w:rPr>
          <w:rFonts w:ascii="Calibri" w:hAnsi="Calibri" w:cs="Calibri"/>
          <w:sz w:val="22"/>
          <w:szCs w:val="22"/>
        </w:rPr>
        <w:tab/>
      </w:r>
      <w:r w:rsidR="004A1049" w:rsidRPr="00FE03F3">
        <w:rPr>
          <w:rFonts w:ascii="Calibri" w:hAnsi="Calibri" w:cs="Calibri"/>
          <w:sz w:val="22"/>
          <w:szCs w:val="22"/>
        </w:rPr>
        <w:t>2</w:t>
      </w:r>
      <w:r w:rsidR="00EF669E" w:rsidRPr="00FE03F3">
        <w:rPr>
          <w:rFonts w:ascii="Calibri" w:hAnsi="Calibri" w:cs="Calibri"/>
          <w:sz w:val="22"/>
          <w:szCs w:val="22"/>
        </w:rPr>
        <w:t xml:space="preserve"> </w:t>
      </w:r>
      <w:r w:rsidR="004A1049" w:rsidRPr="00FE03F3">
        <w:rPr>
          <w:rFonts w:ascii="Calibri" w:hAnsi="Calibri" w:cs="Calibri"/>
          <w:sz w:val="22"/>
          <w:szCs w:val="22"/>
        </w:rPr>
        <w:t>20</w:t>
      </w:r>
      <w:r w:rsidR="007C4FD7" w:rsidRPr="00FE03F3">
        <w:rPr>
          <w:rFonts w:ascii="Calibri" w:hAnsi="Calibri" w:cs="Calibri"/>
          <w:sz w:val="22"/>
          <w:szCs w:val="22"/>
        </w:rPr>
        <w:t>5</w:t>
      </w:r>
    </w:p>
    <w:p w14:paraId="62CB622D" w14:textId="7F05EA27" w:rsidR="007C60B1" w:rsidRPr="00FE03F3" w:rsidRDefault="00175D14" w:rsidP="007C60B1">
      <w:pPr>
        <w:pStyle w:val="TableText"/>
        <w:rPr>
          <w:rFonts w:ascii="Calibri" w:hAnsi="Calibri" w:cs="Calibri"/>
          <w:color w:val="FF0000"/>
          <w:sz w:val="22"/>
          <w:szCs w:val="22"/>
        </w:rPr>
      </w:pPr>
      <w:r w:rsidRPr="00FE03F3">
        <w:rPr>
          <w:rFonts w:ascii="Calibri" w:hAnsi="Calibri" w:cs="Calibri"/>
          <w:sz w:val="22"/>
          <w:szCs w:val="22"/>
        </w:rPr>
        <w:t>Počet zaměstnanců/ z toho zdravotnického personálu</w:t>
      </w:r>
      <w:r w:rsidR="007C60B1" w:rsidRPr="00FE03F3">
        <w:rPr>
          <w:rFonts w:ascii="Calibri" w:hAnsi="Calibri" w:cs="Calibri"/>
          <w:sz w:val="22"/>
          <w:szCs w:val="22"/>
        </w:rPr>
        <w:t xml:space="preserve"> </w:t>
      </w:r>
      <w:r w:rsidR="00FE03F3">
        <w:rPr>
          <w:rFonts w:ascii="Calibri" w:hAnsi="Calibri" w:cs="Calibri"/>
          <w:sz w:val="22"/>
          <w:szCs w:val="22"/>
        </w:rPr>
        <w:tab/>
      </w:r>
      <w:r w:rsidR="00FE03F3">
        <w:rPr>
          <w:rFonts w:ascii="Calibri" w:hAnsi="Calibri" w:cs="Calibri"/>
          <w:sz w:val="22"/>
          <w:szCs w:val="22"/>
        </w:rPr>
        <w:tab/>
      </w:r>
      <w:r w:rsidR="00FE03F3">
        <w:rPr>
          <w:rFonts w:ascii="Calibri" w:hAnsi="Calibri" w:cs="Calibri"/>
          <w:sz w:val="22"/>
          <w:szCs w:val="22"/>
        </w:rPr>
        <w:tab/>
      </w:r>
      <w:r w:rsidR="00FE03F3">
        <w:rPr>
          <w:rFonts w:ascii="Calibri" w:hAnsi="Calibri" w:cs="Calibri"/>
          <w:sz w:val="22"/>
          <w:szCs w:val="22"/>
        </w:rPr>
        <w:tab/>
      </w:r>
      <w:r w:rsidR="007C4FD7" w:rsidRPr="00FE03F3">
        <w:rPr>
          <w:rFonts w:ascii="Calibri" w:hAnsi="Calibri" w:cs="Calibri"/>
          <w:sz w:val="22"/>
          <w:szCs w:val="22"/>
        </w:rPr>
        <w:t>4901</w:t>
      </w:r>
      <w:r w:rsidR="00EF669E" w:rsidRPr="00FE03F3">
        <w:rPr>
          <w:rFonts w:ascii="Calibri" w:hAnsi="Calibri" w:cs="Calibri"/>
          <w:sz w:val="22"/>
          <w:szCs w:val="22"/>
        </w:rPr>
        <w:t>/</w:t>
      </w:r>
      <w:r w:rsidR="007C4FD7" w:rsidRPr="00FE03F3">
        <w:rPr>
          <w:rFonts w:ascii="Calibri" w:hAnsi="Calibri" w:cs="Calibri"/>
          <w:sz w:val="22"/>
          <w:szCs w:val="22"/>
        </w:rPr>
        <w:t>3989</w:t>
      </w:r>
      <w:r w:rsidR="007C60B1" w:rsidRPr="00FE03F3">
        <w:rPr>
          <w:rFonts w:ascii="Calibri" w:hAnsi="Calibri" w:cs="Calibri"/>
          <w:sz w:val="22"/>
          <w:szCs w:val="22"/>
        </w:rPr>
        <w:t xml:space="preserve">                           </w:t>
      </w:r>
      <w:r w:rsidR="00932792" w:rsidRPr="00FE03F3">
        <w:rPr>
          <w:rFonts w:ascii="Calibri" w:hAnsi="Calibri" w:cs="Calibri"/>
          <w:sz w:val="22"/>
          <w:szCs w:val="22"/>
        </w:rPr>
        <w:t xml:space="preserve">       </w:t>
      </w:r>
    </w:p>
    <w:p w14:paraId="34D6FE8E" w14:textId="386EA440" w:rsidR="00EF669E" w:rsidRPr="00FE03F3" w:rsidRDefault="00EF669E" w:rsidP="00EF669E">
      <w:pPr>
        <w:rPr>
          <w:rFonts w:ascii="Calibri" w:hAnsi="Calibri" w:cs="Calibri"/>
          <w:szCs w:val="22"/>
        </w:rPr>
      </w:pPr>
      <w:r w:rsidRPr="00FE03F3">
        <w:rPr>
          <w:rFonts w:ascii="Calibri" w:hAnsi="Calibri" w:cs="Calibri"/>
          <w:szCs w:val="22"/>
        </w:rPr>
        <w:t>Fyzický počet lékařů</w:t>
      </w:r>
      <w:r w:rsidR="00FE03F3">
        <w:rPr>
          <w:rFonts w:ascii="Calibri" w:hAnsi="Calibri" w:cs="Calibri"/>
          <w:szCs w:val="22"/>
        </w:rPr>
        <w:tab/>
      </w:r>
      <w:r w:rsidR="00FE03F3">
        <w:rPr>
          <w:rFonts w:ascii="Calibri" w:hAnsi="Calibri" w:cs="Calibri"/>
          <w:szCs w:val="22"/>
        </w:rPr>
        <w:tab/>
      </w:r>
      <w:r w:rsidR="00FE03F3">
        <w:rPr>
          <w:rFonts w:ascii="Calibri" w:hAnsi="Calibri" w:cs="Calibri"/>
          <w:szCs w:val="22"/>
        </w:rPr>
        <w:tab/>
      </w:r>
      <w:r w:rsidR="00FE03F3">
        <w:rPr>
          <w:rFonts w:ascii="Calibri" w:hAnsi="Calibri" w:cs="Calibri"/>
          <w:szCs w:val="22"/>
        </w:rPr>
        <w:tab/>
      </w:r>
      <w:r w:rsidR="00FE03F3">
        <w:rPr>
          <w:rFonts w:ascii="Calibri" w:hAnsi="Calibri" w:cs="Calibri"/>
          <w:szCs w:val="22"/>
        </w:rPr>
        <w:tab/>
      </w:r>
      <w:r w:rsidR="00FE03F3">
        <w:rPr>
          <w:rFonts w:ascii="Calibri" w:hAnsi="Calibri" w:cs="Calibri"/>
          <w:szCs w:val="22"/>
        </w:rPr>
        <w:tab/>
      </w:r>
      <w:r w:rsidR="00FE03F3">
        <w:rPr>
          <w:rFonts w:ascii="Calibri" w:hAnsi="Calibri" w:cs="Calibri"/>
          <w:szCs w:val="22"/>
        </w:rPr>
        <w:tab/>
      </w:r>
      <w:r w:rsidR="00FE03F3">
        <w:rPr>
          <w:rFonts w:ascii="Calibri" w:hAnsi="Calibri" w:cs="Calibri"/>
          <w:szCs w:val="22"/>
        </w:rPr>
        <w:tab/>
      </w:r>
      <w:r w:rsidR="007C4FD7" w:rsidRPr="00FE03F3">
        <w:rPr>
          <w:rFonts w:ascii="Calibri" w:hAnsi="Calibri" w:cs="Calibri"/>
          <w:szCs w:val="22"/>
        </w:rPr>
        <w:t>858</w:t>
      </w:r>
    </w:p>
    <w:p w14:paraId="36F04D33" w14:textId="77777777" w:rsidR="00815BE4" w:rsidRDefault="00815BE4" w:rsidP="00EF669E"/>
    <w:p w14:paraId="3BCE7F89" w14:textId="77777777" w:rsidR="00EF669E" w:rsidRDefault="00EF669E" w:rsidP="00347453">
      <w:pPr>
        <w:pStyle w:val="TableText"/>
        <w:rPr>
          <w:rFonts w:ascii="Calibri" w:hAnsi="Calibri" w:cs="Calibri"/>
          <w:sz w:val="24"/>
          <w:szCs w:val="24"/>
        </w:rPr>
      </w:pPr>
    </w:p>
    <w:p w14:paraId="7BFF74B8" w14:textId="77777777" w:rsidR="00DE55A6" w:rsidRPr="00234022" w:rsidRDefault="00DE55A6" w:rsidP="00DE55A6">
      <w:pPr>
        <w:pStyle w:val="TableText"/>
        <w:shd w:val="clear" w:color="auto" w:fill="9CC2E5"/>
        <w:rPr>
          <w:rFonts w:ascii="Calibri" w:hAnsi="Calibri" w:cs="Calibri"/>
          <w:b/>
          <w:bCs/>
          <w:sz w:val="24"/>
          <w:szCs w:val="24"/>
        </w:rPr>
      </w:pPr>
      <w:r w:rsidRPr="00234022">
        <w:rPr>
          <w:rFonts w:ascii="Calibri" w:hAnsi="Calibri" w:cs="Calibri"/>
          <w:b/>
          <w:bCs/>
          <w:sz w:val="24"/>
          <w:szCs w:val="24"/>
        </w:rPr>
        <w:t>Další ujednání k pojištění odpovědnosti za škodu:</w:t>
      </w:r>
    </w:p>
    <w:p w14:paraId="122DC1C4" w14:textId="77777777" w:rsidR="00DE55A6" w:rsidRPr="00A17C16" w:rsidRDefault="00DE55A6" w:rsidP="00DE55A6">
      <w:pPr>
        <w:pStyle w:val="TableText"/>
        <w:rPr>
          <w:rFonts w:ascii="Calibri" w:hAnsi="Calibri" w:cs="Calibri"/>
          <w:b/>
          <w:sz w:val="24"/>
          <w:szCs w:val="24"/>
        </w:rPr>
      </w:pPr>
    </w:p>
    <w:p w14:paraId="006F26B1" w14:textId="6C8F6BAC" w:rsidR="00DE55A6" w:rsidRDefault="00DE55A6" w:rsidP="00DE55A6">
      <w:pPr>
        <w:pStyle w:val="TableText"/>
        <w:numPr>
          <w:ilvl w:val="0"/>
          <w:numId w:val="44"/>
        </w:numPr>
        <w:jc w:val="both"/>
        <w:rPr>
          <w:rFonts w:ascii="Calibri" w:hAnsi="Calibri" w:cs="Calibri"/>
          <w:sz w:val="24"/>
          <w:szCs w:val="24"/>
        </w:rPr>
      </w:pPr>
      <w:r w:rsidRPr="002D71D9">
        <w:rPr>
          <w:rFonts w:ascii="Calibri" w:hAnsi="Calibri" w:cs="Calibri"/>
          <w:sz w:val="24"/>
          <w:szCs w:val="24"/>
        </w:rPr>
        <w:t xml:space="preserve">V případě, že v průběhu pojistné doby dojde k vyčerpání, nebo výraznému snížení sjednaného limitu nebo sublimitu pojistného plnění, je zadavatel oprávněn řešit obnovu kapacity limitu nebo </w:t>
      </w:r>
      <w:r w:rsidR="00290C65">
        <w:rPr>
          <w:rFonts w:ascii="Calibri" w:hAnsi="Calibri" w:cs="Calibri"/>
          <w:sz w:val="24"/>
          <w:szCs w:val="24"/>
        </w:rPr>
        <w:t xml:space="preserve">sublimitu pojistného plnění za </w:t>
      </w:r>
      <w:r w:rsidRPr="002D71D9">
        <w:rPr>
          <w:rFonts w:ascii="Calibri" w:hAnsi="Calibri" w:cs="Calibri"/>
          <w:sz w:val="24"/>
          <w:szCs w:val="24"/>
        </w:rPr>
        <w:t>dodatečné</w:t>
      </w:r>
      <w:r w:rsidR="004E35B2">
        <w:rPr>
          <w:rFonts w:ascii="Calibri" w:hAnsi="Calibri" w:cs="Calibri"/>
          <w:sz w:val="24"/>
          <w:szCs w:val="24"/>
        </w:rPr>
        <w:t>,</w:t>
      </w:r>
      <w:r w:rsidRPr="002D71D9">
        <w:rPr>
          <w:rFonts w:ascii="Calibri" w:hAnsi="Calibri" w:cs="Calibri"/>
          <w:sz w:val="24"/>
          <w:szCs w:val="24"/>
        </w:rPr>
        <w:t xml:space="preserve"> </w:t>
      </w:r>
      <w:r>
        <w:rPr>
          <w:rFonts w:ascii="Calibri" w:hAnsi="Calibri" w:cs="Calibri"/>
          <w:sz w:val="24"/>
          <w:szCs w:val="24"/>
        </w:rPr>
        <w:t xml:space="preserve">individuálně kalkulované </w:t>
      </w:r>
      <w:r w:rsidRPr="002D71D9">
        <w:rPr>
          <w:rFonts w:ascii="Calibri" w:hAnsi="Calibri" w:cs="Calibri"/>
          <w:sz w:val="24"/>
          <w:szCs w:val="24"/>
        </w:rPr>
        <w:t>pojistné</w:t>
      </w:r>
      <w:r>
        <w:rPr>
          <w:rFonts w:ascii="Calibri" w:hAnsi="Calibri" w:cs="Calibri"/>
          <w:sz w:val="24"/>
          <w:szCs w:val="24"/>
        </w:rPr>
        <w:t>.</w:t>
      </w:r>
    </w:p>
    <w:p w14:paraId="432C0767" w14:textId="77777777" w:rsidR="00234022" w:rsidRPr="002D71D9" w:rsidRDefault="00234022" w:rsidP="00234022">
      <w:pPr>
        <w:pStyle w:val="TableText"/>
        <w:ind w:left="720"/>
        <w:jc w:val="both"/>
        <w:rPr>
          <w:rFonts w:ascii="Calibri" w:hAnsi="Calibri" w:cs="Calibri"/>
          <w:sz w:val="24"/>
          <w:szCs w:val="24"/>
        </w:rPr>
      </w:pPr>
    </w:p>
    <w:p w14:paraId="0B24CF9E" w14:textId="77777777" w:rsidR="00DE55A6" w:rsidRDefault="00DE55A6" w:rsidP="00DE55A6">
      <w:pPr>
        <w:pStyle w:val="TableText"/>
        <w:numPr>
          <w:ilvl w:val="0"/>
          <w:numId w:val="44"/>
        </w:numPr>
        <w:jc w:val="both"/>
        <w:rPr>
          <w:rFonts w:ascii="Calibri" w:hAnsi="Calibri" w:cs="Calibri"/>
          <w:sz w:val="24"/>
          <w:szCs w:val="24"/>
        </w:rPr>
      </w:pPr>
      <w:r w:rsidRPr="00A17C16">
        <w:rPr>
          <w:rFonts w:ascii="Calibri" w:hAnsi="Calibri" w:cs="Calibri"/>
          <w:sz w:val="24"/>
          <w:szCs w:val="24"/>
        </w:rPr>
        <w:t xml:space="preserve">Pro uplatnění nároku na náhradu škody pojištěného vůči pojistiteli se sjednává lhůta </w:t>
      </w:r>
      <w:r w:rsidRPr="00E20456">
        <w:rPr>
          <w:rFonts w:ascii="Calibri" w:hAnsi="Calibri" w:cs="Calibri"/>
          <w:sz w:val="24"/>
          <w:szCs w:val="24"/>
        </w:rPr>
        <w:t>90</w:t>
      </w:r>
      <w:r w:rsidRPr="00A17C16">
        <w:rPr>
          <w:rFonts w:ascii="Calibri" w:hAnsi="Calibri" w:cs="Calibri"/>
          <w:sz w:val="24"/>
          <w:szCs w:val="24"/>
        </w:rPr>
        <w:t xml:space="preserve"> dní po ukončení platnosti pojistné smlouvy.</w:t>
      </w:r>
    </w:p>
    <w:p w14:paraId="1E3D8D22" w14:textId="77777777" w:rsidR="00234022" w:rsidRPr="00A17C16" w:rsidRDefault="00234022" w:rsidP="00234022">
      <w:pPr>
        <w:pStyle w:val="TableText"/>
        <w:ind w:left="720"/>
        <w:jc w:val="both"/>
        <w:rPr>
          <w:rFonts w:ascii="Calibri" w:hAnsi="Calibri" w:cs="Calibri"/>
          <w:sz w:val="24"/>
          <w:szCs w:val="24"/>
        </w:rPr>
      </w:pPr>
    </w:p>
    <w:p w14:paraId="3A5C15B0" w14:textId="77777777" w:rsidR="00DE55A6" w:rsidRDefault="00DE55A6" w:rsidP="00DE55A6">
      <w:pPr>
        <w:pStyle w:val="TableText"/>
        <w:numPr>
          <w:ilvl w:val="0"/>
          <w:numId w:val="44"/>
        </w:numPr>
        <w:jc w:val="both"/>
        <w:rPr>
          <w:rFonts w:ascii="Calibri" w:hAnsi="Calibri" w:cs="Calibri"/>
          <w:sz w:val="24"/>
          <w:szCs w:val="24"/>
        </w:rPr>
      </w:pPr>
      <w:r w:rsidRPr="00815BE4">
        <w:rPr>
          <w:rFonts w:ascii="Calibri" w:hAnsi="Calibri" w:cs="Calibri"/>
          <w:sz w:val="24"/>
          <w:szCs w:val="24"/>
        </w:rPr>
        <w:t>Zahrnuta odpovědnost za škodu při poskytování zdravotní péče v lůžkovém zařízení</w:t>
      </w:r>
    </w:p>
    <w:p w14:paraId="79B8CD96" w14:textId="77777777" w:rsidR="00234022" w:rsidRPr="00815BE4" w:rsidRDefault="00234022" w:rsidP="00234022">
      <w:pPr>
        <w:pStyle w:val="TableText"/>
        <w:ind w:left="720"/>
        <w:jc w:val="both"/>
        <w:rPr>
          <w:rFonts w:ascii="Calibri" w:hAnsi="Calibri" w:cs="Calibri"/>
          <w:sz w:val="24"/>
          <w:szCs w:val="24"/>
        </w:rPr>
      </w:pPr>
    </w:p>
    <w:p w14:paraId="41B3ECBA" w14:textId="77777777" w:rsidR="00DE55A6" w:rsidRDefault="00DE55A6" w:rsidP="00DE55A6">
      <w:pPr>
        <w:pStyle w:val="TableText"/>
        <w:numPr>
          <w:ilvl w:val="0"/>
          <w:numId w:val="44"/>
        </w:numPr>
        <w:jc w:val="both"/>
        <w:rPr>
          <w:rFonts w:ascii="Calibri" w:hAnsi="Calibri" w:cs="Calibri"/>
          <w:sz w:val="24"/>
          <w:szCs w:val="24"/>
        </w:rPr>
      </w:pPr>
      <w:r w:rsidRPr="00DE55A6">
        <w:rPr>
          <w:rFonts w:ascii="Calibri" w:hAnsi="Calibri" w:cs="Calibri"/>
          <w:sz w:val="24"/>
          <w:szCs w:val="24"/>
        </w:rPr>
        <w:t>Vztahuje se i na odpovědnost za škodu na zdraví vyplývající z používání lékařských přístrojů vč. elektronických zařízení, a to i v případě, dojde-li k výpadku, poškození změny nebo k omezení funkce počítačových systémů, elektronických systémů a elektronických obvodů</w:t>
      </w:r>
    </w:p>
    <w:p w14:paraId="2E8D7184" w14:textId="77777777" w:rsidR="00234022" w:rsidRPr="00DE55A6" w:rsidRDefault="00234022" w:rsidP="00234022">
      <w:pPr>
        <w:pStyle w:val="TableText"/>
        <w:ind w:left="720"/>
        <w:jc w:val="both"/>
        <w:rPr>
          <w:rFonts w:ascii="Calibri" w:hAnsi="Calibri" w:cs="Calibri"/>
          <w:sz w:val="24"/>
          <w:szCs w:val="24"/>
        </w:rPr>
      </w:pPr>
    </w:p>
    <w:p w14:paraId="0348958C" w14:textId="77777777" w:rsidR="006201DF" w:rsidRPr="004E35B2" w:rsidRDefault="006201DF" w:rsidP="00DE55A6">
      <w:pPr>
        <w:pStyle w:val="Odstavecseseznamem"/>
        <w:numPr>
          <w:ilvl w:val="0"/>
          <w:numId w:val="44"/>
        </w:num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lastRenderedPageBreak/>
        <w:t>Pojistník má právo požádat pojistitele v případě náhrady újmy o souhlas s uzavřením dohody o narovnání s poškozeným, a to mimosoudní cestou. Pojistitel u jednotlivých žádostí pojistníkovi sdělí, zda s možností uzavření dohody o narovnání souhlasí.</w:t>
      </w:r>
    </w:p>
    <w:p w14:paraId="129DBF01" w14:textId="77777777" w:rsidR="006201DF" w:rsidRPr="006201DF" w:rsidRDefault="006201DF" w:rsidP="006201DF">
      <w:pPr>
        <w:pStyle w:val="Odstavecseseznamem"/>
        <w:autoSpaceDE w:val="0"/>
        <w:autoSpaceDN w:val="0"/>
        <w:adjustRightInd w:val="0"/>
        <w:ind w:left="567"/>
        <w:contextualSpacing/>
        <w:jc w:val="both"/>
        <w:rPr>
          <w:sz w:val="20"/>
        </w:rPr>
      </w:pPr>
    </w:p>
    <w:p w14:paraId="48B5441C" w14:textId="77777777" w:rsidR="006201DF" w:rsidRPr="004E35B2" w:rsidRDefault="006201DF" w:rsidP="00DE55A6">
      <w:pPr>
        <w:pStyle w:val="Odstavecseseznamem"/>
        <w:numPr>
          <w:ilvl w:val="0"/>
          <w:numId w:val="44"/>
        </w:num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 xml:space="preserve">Pojistitel ani pojistník nejsou oprávněni vypovědět soukromé pojištění v souladu se zákonem č. 89/2012 Sb. §2805 písm. a) b); a dle §2807. Pojištění lze vypovědět vždy ke konci pojistného roku alespoň </w:t>
      </w:r>
      <w:r w:rsidR="00DE55A6" w:rsidRPr="004E35B2">
        <w:rPr>
          <w:rFonts w:ascii="Calibri" w:hAnsi="Calibri" w:cs="Calibri"/>
          <w:sz w:val="24"/>
          <w:szCs w:val="24"/>
        </w:rPr>
        <w:t>6</w:t>
      </w:r>
      <w:r w:rsidRPr="004E35B2">
        <w:rPr>
          <w:rFonts w:ascii="Calibri" w:hAnsi="Calibri" w:cs="Calibri"/>
          <w:sz w:val="24"/>
          <w:szCs w:val="24"/>
        </w:rPr>
        <w:t xml:space="preserve"> měsíců před jeho uplynutím. </w:t>
      </w:r>
    </w:p>
    <w:p w14:paraId="6D02C03C" w14:textId="77777777" w:rsidR="001D0B75" w:rsidRPr="004E35B2" w:rsidRDefault="001D0B75" w:rsidP="004E35B2">
      <w:pPr>
        <w:pStyle w:val="Odstavecseseznamem"/>
        <w:autoSpaceDE w:val="0"/>
        <w:autoSpaceDN w:val="0"/>
        <w:adjustRightInd w:val="0"/>
        <w:spacing w:line="320" w:lineRule="atLeast"/>
        <w:ind w:left="720"/>
        <w:contextualSpacing/>
        <w:jc w:val="both"/>
        <w:rPr>
          <w:rFonts w:ascii="Calibri" w:hAnsi="Calibri" w:cs="Calibri"/>
          <w:sz w:val="24"/>
          <w:szCs w:val="24"/>
        </w:rPr>
      </w:pPr>
    </w:p>
    <w:p w14:paraId="1D95A460" w14:textId="77777777" w:rsidR="001D0B75" w:rsidRPr="004E35B2" w:rsidRDefault="00D953BF" w:rsidP="00D953BF">
      <w:pPr>
        <w:pStyle w:val="Odstavecseseznamem"/>
        <w:numPr>
          <w:ilvl w:val="0"/>
          <w:numId w:val="44"/>
        </w:num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Činnost nezapsané v OR.</w:t>
      </w:r>
    </w:p>
    <w:p w14:paraId="10CFC3FB" w14:textId="77777777" w:rsidR="001D0B75" w:rsidRPr="004E35B2" w:rsidRDefault="00D953BF" w:rsidP="001D0B75">
      <w:pPr>
        <w:pStyle w:val="Odstavecseseznamem"/>
        <w:autoSpaceDE w:val="0"/>
        <w:autoSpaceDN w:val="0"/>
        <w:adjustRightInd w:val="0"/>
        <w:spacing w:line="320" w:lineRule="atLeast"/>
        <w:ind w:left="720"/>
        <w:contextualSpacing/>
        <w:jc w:val="both"/>
        <w:rPr>
          <w:rFonts w:ascii="Calibri" w:hAnsi="Calibri" w:cs="Calibri"/>
          <w:sz w:val="24"/>
          <w:szCs w:val="24"/>
        </w:rPr>
      </w:pPr>
      <w:r w:rsidRPr="004E35B2">
        <w:rPr>
          <w:rFonts w:ascii="Calibri" w:hAnsi="Calibri" w:cs="Calibri"/>
          <w:sz w:val="24"/>
          <w:szCs w:val="24"/>
        </w:rPr>
        <w:t xml:space="preserve">Pojištění odpovědnosti se vztahuje i na újmu způsobenou činností pojištěného neuvedenou v předmětu činnosti zapsanou ve veřejných rejstřících, pokud pojištěný v době vzniku pojistné události měl oprávnění k provozování příslušné činnosti podle platných právních předpisů a roční příjmy z této činnosti nepřekročí </w:t>
      </w:r>
      <w:proofErr w:type="gramStart"/>
      <w:r w:rsidRPr="004E35B2">
        <w:rPr>
          <w:rFonts w:ascii="Calibri" w:hAnsi="Calibri" w:cs="Calibri"/>
          <w:sz w:val="24"/>
          <w:szCs w:val="24"/>
        </w:rPr>
        <w:t>10%</w:t>
      </w:r>
      <w:proofErr w:type="gramEnd"/>
      <w:r w:rsidRPr="004E35B2">
        <w:rPr>
          <w:rFonts w:ascii="Calibri" w:hAnsi="Calibri" w:cs="Calibri"/>
          <w:sz w:val="24"/>
          <w:szCs w:val="24"/>
        </w:rPr>
        <w:t xml:space="preserve"> celkových ročních příjmů pojištěného.</w:t>
      </w:r>
    </w:p>
    <w:p w14:paraId="2A88505F" w14:textId="77777777" w:rsidR="00040F7C" w:rsidRDefault="00040F7C" w:rsidP="001D0B75">
      <w:pPr>
        <w:pStyle w:val="Odstavecseseznamem"/>
        <w:autoSpaceDE w:val="0"/>
        <w:autoSpaceDN w:val="0"/>
        <w:adjustRightInd w:val="0"/>
        <w:spacing w:line="320" w:lineRule="atLeast"/>
        <w:ind w:left="720"/>
        <w:contextualSpacing/>
        <w:jc w:val="both"/>
        <w:rPr>
          <w:sz w:val="20"/>
        </w:rPr>
      </w:pPr>
    </w:p>
    <w:p w14:paraId="4A802467" w14:textId="77777777" w:rsidR="00040F7C" w:rsidRPr="004E35B2" w:rsidRDefault="00040F7C" w:rsidP="00040F7C">
      <w:pPr>
        <w:pStyle w:val="Odstavecseseznamem"/>
        <w:numPr>
          <w:ilvl w:val="0"/>
          <w:numId w:val="44"/>
        </w:num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Čisté finanční škody – výrobek</w:t>
      </w:r>
    </w:p>
    <w:p w14:paraId="31015FBB" w14:textId="2C804B04" w:rsidR="00040F7C" w:rsidRPr="004E35B2" w:rsidRDefault="00040F7C" w:rsidP="004E35B2">
      <w:pPr>
        <w:autoSpaceDE w:val="0"/>
        <w:autoSpaceDN w:val="0"/>
        <w:adjustRightInd w:val="0"/>
        <w:spacing w:line="320" w:lineRule="atLeast"/>
        <w:ind w:left="708"/>
        <w:contextualSpacing/>
        <w:jc w:val="both"/>
        <w:rPr>
          <w:rFonts w:ascii="Calibri" w:hAnsi="Calibri" w:cs="Calibri"/>
          <w:sz w:val="24"/>
          <w:szCs w:val="24"/>
        </w:rPr>
      </w:pPr>
      <w:r w:rsidRPr="004E35B2">
        <w:rPr>
          <w:rFonts w:ascii="Calibri" w:hAnsi="Calibri" w:cs="Calibri"/>
          <w:sz w:val="24"/>
          <w:szCs w:val="24"/>
        </w:rPr>
        <w:t>Pojištění sjednané touto smlouvou se v</w:t>
      </w:r>
      <w:r w:rsidR="00290C65">
        <w:rPr>
          <w:rFonts w:ascii="Calibri" w:hAnsi="Calibri" w:cs="Calibri"/>
          <w:sz w:val="24"/>
          <w:szCs w:val="24"/>
        </w:rPr>
        <w:t xml:space="preserve"> rámci čistých finančních škod </w:t>
      </w:r>
      <w:r w:rsidRPr="004E35B2">
        <w:rPr>
          <w:rFonts w:ascii="Calibri" w:hAnsi="Calibri" w:cs="Calibri"/>
          <w:sz w:val="24"/>
          <w:szCs w:val="24"/>
        </w:rPr>
        <w:t>vztahuje i na čisté finanční škody vzniklé v důsledku vady výrobku, vadně poskytnuté služby nebo vadně vykonané práce.</w:t>
      </w:r>
    </w:p>
    <w:p w14:paraId="1CC25A62" w14:textId="77777777" w:rsidR="00040F7C" w:rsidRPr="004E35B2" w:rsidRDefault="00040F7C" w:rsidP="004E35B2">
      <w:pPr>
        <w:pStyle w:val="Odstavecseseznamem"/>
        <w:autoSpaceDE w:val="0"/>
        <w:autoSpaceDN w:val="0"/>
        <w:adjustRightInd w:val="0"/>
        <w:spacing w:line="320" w:lineRule="atLeast"/>
        <w:ind w:left="720"/>
        <w:contextualSpacing/>
        <w:jc w:val="both"/>
        <w:rPr>
          <w:rFonts w:ascii="Calibri" w:hAnsi="Calibri" w:cs="Calibri"/>
          <w:sz w:val="24"/>
          <w:szCs w:val="24"/>
        </w:rPr>
      </w:pPr>
    </w:p>
    <w:p w14:paraId="67122615" w14:textId="77777777" w:rsidR="00040F7C" w:rsidRPr="004E35B2" w:rsidRDefault="00040F7C" w:rsidP="00040F7C">
      <w:pPr>
        <w:pStyle w:val="Odstavecseseznamem"/>
        <w:numPr>
          <w:ilvl w:val="0"/>
          <w:numId w:val="44"/>
        </w:num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Věci užívané – nemovitosti</w:t>
      </w:r>
    </w:p>
    <w:p w14:paraId="3E4BF495" w14:textId="77777777" w:rsidR="00040F7C" w:rsidRPr="004E35B2" w:rsidRDefault="00040F7C" w:rsidP="004E35B2">
      <w:pPr>
        <w:autoSpaceDE w:val="0"/>
        <w:autoSpaceDN w:val="0"/>
        <w:adjustRightInd w:val="0"/>
        <w:spacing w:line="320" w:lineRule="atLeast"/>
        <w:ind w:left="708"/>
        <w:contextualSpacing/>
        <w:jc w:val="both"/>
        <w:rPr>
          <w:rFonts w:ascii="Calibri" w:hAnsi="Calibri" w:cs="Calibri"/>
          <w:sz w:val="24"/>
          <w:szCs w:val="24"/>
        </w:rPr>
      </w:pPr>
      <w:r w:rsidRPr="004E35B2">
        <w:rPr>
          <w:rFonts w:ascii="Calibri" w:hAnsi="Calibri" w:cs="Calibri"/>
          <w:sz w:val="24"/>
          <w:szCs w:val="24"/>
        </w:rPr>
        <w:t>V případě sjednaného pojistného krytí pro škody na věcech převzatých nebo užívaných se toto připojištění vztahuje také na nemovitosti.</w:t>
      </w:r>
    </w:p>
    <w:p w14:paraId="02F2C2C3" w14:textId="77777777" w:rsidR="00040F7C" w:rsidRPr="00040F7C" w:rsidRDefault="00040F7C" w:rsidP="00040F7C">
      <w:pPr>
        <w:pStyle w:val="Odstavecseseznamem"/>
        <w:autoSpaceDE w:val="0"/>
        <w:autoSpaceDN w:val="0"/>
        <w:adjustRightInd w:val="0"/>
        <w:spacing w:line="320" w:lineRule="atLeast"/>
        <w:ind w:left="720"/>
        <w:contextualSpacing/>
        <w:jc w:val="both"/>
        <w:rPr>
          <w:sz w:val="20"/>
        </w:rPr>
      </w:pPr>
    </w:p>
    <w:p w14:paraId="36266305" w14:textId="77777777" w:rsidR="00040F7C" w:rsidRPr="004E35B2" w:rsidRDefault="00040F7C" w:rsidP="00040F7C">
      <w:pPr>
        <w:pStyle w:val="Odstavecseseznamem"/>
        <w:numPr>
          <w:ilvl w:val="0"/>
          <w:numId w:val="44"/>
        </w:num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Duševní útrapy</w:t>
      </w:r>
    </w:p>
    <w:p w14:paraId="79B188C9" w14:textId="0AFB9ADD" w:rsidR="00040F7C" w:rsidRPr="004E35B2" w:rsidRDefault="00040F7C" w:rsidP="00040F7C">
      <w:pPr>
        <w:autoSpaceDE w:val="0"/>
        <w:autoSpaceDN w:val="0"/>
        <w:adjustRightInd w:val="0"/>
        <w:spacing w:line="320" w:lineRule="atLeast"/>
        <w:ind w:left="708"/>
        <w:contextualSpacing/>
        <w:jc w:val="both"/>
        <w:rPr>
          <w:rFonts w:ascii="Calibri" w:hAnsi="Calibri" w:cs="Calibri"/>
          <w:sz w:val="24"/>
          <w:szCs w:val="24"/>
        </w:rPr>
      </w:pPr>
      <w:r w:rsidRPr="004E35B2">
        <w:rPr>
          <w:rFonts w:ascii="Calibri" w:hAnsi="Calibri" w:cs="Calibri"/>
          <w:sz w:val="24"/>
          <w:szCs w:val="24"/>
        </w:rPr>
        <w:t>V případě nemajetkové újmy na zdraví nebo na životě člověka poskytne pojistitel náhradu duševních</w:t>
      </w:r>
      <w:r w:rsidR="00290C65">
        <w:rPr>
          <w:rFonts w:ascii="Calibri" w:hAnsi="Calibri" w:cs="Calibri"/>
          <w:sz w:val="24"/>
          <w:szCs w:val="24"/>
        </w:rPr>
        <w:t xml:space="preserve"> útrap způsobených poškozenému </w:t>
      </w:r>
      <w:r w:rsidRPr="004E35B2">
        <w:rPr>
          <w:rFonts w:ascii="Calibri" w:hAnsi="Calibri" w:cs="Calibri"/>
          <w:sz w:val="24"/>
          <w:szCs w:val="24"/>
        </w:rPr>
        <w:t>a dále náhradu duševních útrap manžela, rodiče, dítěte nebo jiné osoby blízké poškozeného v případě usmrcení nebo zvlášť závažného ublížení na zdraví poškozeného.</w:t>
      </w:r>
    </w:p>
    <w:p w14:paraId="2AD99349" w14:textId="77777777" w:rsidR="00040F7C" w:rsidRPr="00040F7C" w:rsidRDefault="00040F7C" w:rsidP="00040F7C">
      <w:pPr>
        <w:autoSpaceDE w:val="0"/>
        <w:autoSpaceDN w:val="0"/>
        <w:adjustRightInd w:val="0"/>
        <w:spacing w:line="320" w:lineRule="atLeast"/>
        <w:ind w:left="708"/>
        <w:contextualSpacing/>
        <w:jc w:val="both"/>
        <w:rPr>
          <w:sz w:val="20"/>
        </w:rPr>
      </w:pPr>
    </w:p>
    <w:p w14:paraId="77F4328E" w14:textId="77777777" w:rsidR="00040F7C" w:rsidRPr="004E35B2" w:rsidRDefault="00040F7C" w:rsidP="00040F7C">
      <w:pPr>
        <w:pStyle w:val="Odstavecseseznamem"/>
        <w:numPr>
          <w:ilvl w:val="0"/>
          <w:numId w:val="44"/>
        </w:numPr>
        <w:autoSpaceDE w:val="0"/>
        <w:autoSpaceDN w:val="0"/>
        <w:adjustRightInd w:val="0"/>
        <w:spacing w:line="320" w:lineRule="atLeast"/>
        <w:contextualSpacing/>
        <w:jc w:val="both"/>
        <w:rPr>
          <w:rFonts w:ascii="Calibri" w:hAnsi="Calibri" w:cs="Calibri"/>
          <w:sz w:val="24"/>
          <w:szCs w:val="24"/>
        </w:rPr>
      </w:pPr>
      <w:r w:rsidRPr="00040F7C">
        <w:rPr>
          <w:sz w:val="20"/>
        </w:rPr>
        <w:t xml:space="preserve"> </w:t>
      </w:r>
      <w:r w:rsidRPr="004E35B2">
        <w:rPr>
          <w:rFonts w:ascii="Calibri" w:hAnsi="Calibri" w:cs="Calibri"/>
          <w:sz w:val="24"/>
          <w:szCs w:val="24"/>
        </w:rPr>
        <w:t>Odpovědnosti členů orgánů za jinou než čistou finanční škodu – věci užívané, svěřené k výkonu funkce v souvislosti s poškozením, zničením, vč. motorových vozidel</w:t>
      </w:r>
    </w:p>
    <w:p w14:paraId="6E446606" w14:textId="5D3C4DFC" w:rsidR="00040F7C" w:rsidRPr="00E83D6B" w:rsidRDefault="00040F7C" w:rsidP="00040F7C">
      <w:pPr>
        <w:autoSpaceDE w:val="0"/>
        <w:autoSpaceDN w:val="0"/>
        <w:adjustRightInd w:val="0"/>
        <w:spacing w:line="320" w:lineRule="atLeast"/>
        <w:ind w:left="708"/>
        <w:contextualSpacing/>
        <w:jc w:val="both"/>
        <w:rPr>
          <w:rFonts w:ascii="Calibri" w:hAnsi="Calibri" w:cs="Calibri"/>
          <w:strike/>
          <w:color w:val="FF0000"/>
          <w:sz w:val="24"/>
          <w:szCs w:val="24"/>
        </w:rPr>
      </w:pPr>
      <w:r w:rsidRPr="004E35B2">
        <w:rPr>
          <w:rFonts w:ascii="Calibri" w:hAnsi="Calibri" w:cs="Calibri"/>
          <w:sz w:val="24"/>
          <w:szCs w:val="24"/>
        </w:rPr>
        <w:t>Připojištění se vztahuje na právním předpisem stanovenou povinnost pojištěného člena orgánu nahradit jinou než čistou finanční újmu způsobenou v souvislosti s výkonem jeho funkce</w:t>
      </w:r>
      <w:r w:rsidR="00D1724C">
        <w:rPr>
          <w:rFonts w:ascii="Calibri" w:hAnsi="Calibri" w:cs="Calibri"/>
          <w:sz w:val="24"/>
          <w:szCs w:val="24"/>
        </w:rPr>
        <w:t>.</w:t>
      </w:r>
    </w:p>
    <w:p w14:paraId="510AD882" w14:textId="77777777" w:rsidR="00040F7C" w:rsidRPr="00040F7C" w:rsidRDefault="00040F7C" w:rsidP="00040F7C">
      <w:pPr>
        <w:pStyle w:val="Odstavecseseznamem"/>
        <w:autoSpaceDE w:val="0"/>
        <w:autoSpaceDN w:val="0"/>
        <w:adjustRightInd w:val="0"/>
        <w:spacing w:line="320" w:lineRule="atLeast"/>
        <w:ind w:left="720"/>
        <w:contextualSpacing/>
        <w:jc w:val="both"/>
        <w:rPr>
          <w:sz w:val="20"/>
        </w:rPr>
      </w:pPr>
    </w:p>
    <w:p w14:paraId="2820D576" w14:textId="77777777" w:rsidR="00040F7C" w:rsidRPr="004E35B2" w:rsidRDefault="00040F7C" w:rsidP="00040F7C">
      <w:pPr>
        <w:pStyle w:val="Odstavecseseznamem"/>
        <w:numPr>
          <w:ilvl w:val="0"/>
          <w:numId w:val="44"/>
        </w:num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 xml:space="preserve">Škoda způsobená na podzemních a nadzemních vedeních </w:t>
      </w:r>
    </w:p>
    <w:p w14:paraId="0EA9C85E" w14:textId="43687FCF" w:rsidR="00040F7C" w:rsidRPr="004E35B2" w:rsidRDefault="00040F7C" w:rsidP="00040F7C">
      <w:pPr>
        <w:autoSpaceDE w:val="0"/>
        <w:autoSpaceDN w:val="0"/>
        <w:adjustRightInd w:val="0"/>
        <w:spacing w:line="320" w:lineRule="atLeast"/>
        <w:ind w:left="708"/>
        <w:contextualSpacing/>
        <w:jc w:val="both"/>
        <w:rPr>
          <w:rFonts w:ascii="Calibri" w:hAnsi="Calibri" w:cs="Calibri"/>
          <w:sz w:val="24"/>
          <w:szCs w:val="24"/>
        </w:rPr>
      </w:pPr>
      <w:r w:rsidRPr="004E35B2">
        <w:rPr>
          <w:rFonts w:ascii="Calibri" w:hAnsi="Calibri" w:cs="Calibri"/>
          <w:sz w:val="24"/>
          <w:szCs w:val="24"/>
        </w:rPr>
        <w:t xml:space="preserve">Pojištění se vztahuje také na škodu způsobenou na podzemních a nadzemních vedeních. </w:t>
      </w:r>
    </w:p>
    <w:p w14:paraId="22786FFA" w14:textId="77777777" w:rsidR="00040F7C" w:rsidRPr="004E35B2" w:rsidRDefault="00040F7C" w:rsidP="00040F7C">
      <w:pPr>
        <w:autoSpaceDE w:val="0"/>
        <w:autoSpaceDN w:val="0"/>
        <w:adjustRightInd w:val="0"/>
        <w:spacing w:line="320" w:lineRule="atLeast"/>
        <w:ind w:left="708"/>
        <w:contextualSpacing/>
        <w:jc w:val="both"/>
        <w:rPr>
          <w:rFonts w:ascii="Calibri" w:hAnsi="Calibri" w:cs="Calibri"/>
          <w:sz w:val="24"/>
          <w:szCs w:val="24"/>
        </w:rPr>
      </w:pPr>
    </w:p>
    <w:p w14:paraId="016C9BA5" w14:textId="77777777" w:rsidR="00040F7C" w:rsidRPr="004E35B2" w:rsidRDefault="00040F7C" w:rsidP="008E589A">
      <w:pPr>
        <w:pStyle w:val="Odstavecseseznamem"/>
        <w:numPr>
          <w:ilvl w:val="0"/>
          <w:numId w:val="44"/>
        </w:num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Odpady</w:t>
      </w:r>
    </w:p>
    <w:p w14:paraId="3E9BC9E8" w14:textId="77777777" w:rsidR="00040F7C" w:rsidRPr="004E35B2" w:rsidRDefault="00040F7C" w:rsidP="008E589A">
      <w:pPr>
        <w:autoSpaceDE w:val="0"/>
        <w:autoSpaceDN w:val="0"/>
        <w:adjustRightInd w:val="0"/>
        <w:spacing w:line="320" w:lineRule="atLeast"/>
        <w:ind w:left="708"/>
        <w:contextualSpacing/>
        <w:jc w:val="both"/>
        <w:rPr>
          <w:rFonts w:ascii="Calibri" w:hAnsi="Calibri" w:cs="Calibri"/>
          <w:sz w:val="24"/>
          <w:szCs w:val="24"/>
        </w:rPr>
      </w:pPr>
      <w:r w:rsidRPr="004E35B2">
        <w:rPr>
          <w:rFonts w:ascii="Calibri" w:hAnsi="Calibri" w:cs="Calibri"/>
          <w:sz w:val="24"/>
          <w:szCs w:val="24"/>
        </w:rPr>
        <w:lastRenderedPageBreak/>
        <w:t>Pojištění se vztahuje také na nakládání s nebezpečnými odpady (zdravotnický materiál, infekční materiál) ve smyslu standardního sběru tohoto odpadu z pracovišť nemocnice před předáním společnosti pověřené likvidací tohoto odpadu.</w:t>
      </w:r>
    </w:p>
    <w:p w14:paraId="799D8F43" w14:textId="77777777" w:rsidR="00040F7C" w:rsidRPr="00040F7C" w:rsidRDefault="00040F7C" w:rsidP="00040F7C">
      <w:pPr>
        <w:autoSpaceDE w:val="0"/>
        <w:autoSpaceDN w:val="0"/>
        <w:adjustRightInd w:val="0"/>
        <w:spacing w:line="320" w:lineRule="atLeast"/>
        <w:contextualSpacing/>
        <w:jc w:val="both"/>
        <w:rPr>
          <w:sz w:val="20"/>
        </w:rPr>
      </w:pPr>
    </w:p>
    <w:p w14:paraId="2C8DFBAC" w14:textId="77777777" w:rsidR="00040F7C" w:rsidRPr="004E35B2" w:rsidRDefault="00040F7C" w:rsidP="00484441">
      <w:pPr>
        <w:pStyle w:val="Odstavecseseznamem"/>
        <w:numPr>
          <w:ilvl w:val="0"/>
          <w:numId w:val="44"/>
        </w:num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Zvláštní ujednání pro pojištění odpovědnosti</w:t>
      </w:r>
    </w:p>
    <w:p w14:paraId="5DFCB28D" w14:textId="77777777" w:rsidR="00040F7C" w:rsidRPr="004E35B2" w:rsidRDefault="00040F7C" w:rsidP="00484441">
      <w:pPr>
        <w:autoSpaceDE w:val="0"/>
        <w:autoSpaceDN w:val="0"/>
        <w:adjustRightInd w:val="0"/>
        <w:spacing w:line="320" w:lineRule="atLeast"/>
        <w:ind w:left="708"/>
        <w:contextualSpacing/>
        <w:jc w:val="both"/>
        <w:rPr>
          <w:rFonts w:ascii="Calibri" w:hAnsi="Calibri" w:cs="Calibri"/>
          <w:sz w:val="24"/>
          <w:szCs w:val="24"/>
        </w:rPr>
      </w:pPr>
      <w:r w:rsidRPr="004E35B2">
        <w:rPr>
          <w:rFonts w:ascii="Calibri" w:hAnsi="Calibri" w:cs="Calibri"/>
          <w:sz w:val="24"/>
          <w:szCs w:val="24"/>
        </w:rPr>
        <w:t>Za porušení povinnosti předcházet vzniku pojistné události se nepovažuje odborné pochybení při poskytování zdravotních služeb (péče). Tímto ujednáním však není dotčena výluka na odpovědnost za škodu či nemajetkovou újmu způsobenou úmyslně.</w:t>
      </w:r>
    </w:p>
    <w:p w14:paraId="7CBEDC99" w14:textId="77777777" w:rsidR="000B6386" w:rsidRDefault="000B6386" w:rsidP="00040F7C">
      <w:pPr>
        <w:autoSpaceDE w:val="0"/>
        <w:autoSpaceDN w:val="0"/>
        <w:adjustRightInd w:val="0"/>
        <w:spacing w:line="320" w:lineRule="atLeast"/>
        <w:contextualSpacing/>
        <w:jc w:val="both"/>
        <w:rPr>
          <w:rFonts w:ascii="Calibri" w:hAnsi="Calibri" w:cs="Calibri"/>
          <w:sz w:val="24"/>
          <w:szCs w:val="24"/>
        </w:rPr>
      </w:pPr>
    </w:p>
    <w:p w14:paraId="0106D25D" w14:textId="77777777" w:rsidR="002F0CBB" w:rsidRDefault="002F0CBB" w:rsidP="002F0CBB">
      <w:pPr>
        <w:autoSpaceDE w:val="0"/>
        <w:autoSpaceDN w:val="0"/>
        <w:adjustRightInd w:val="0"/>
        <w:spacing w:line="320" w:lineRule="atLeast"/>
        <w:contextualSpacing/>
        <w:jc w:val="both"/>
        <w:rPr>
          <w:b/>
          <w:sz w:val="20"/>
        </w:rPr>
      </w:pPr>
      <w:r w:rsidRPr="002F0CBB">
        <w:rPr>
          <w:b/>
          <w:sz w:val="20"/>
        </w:rPr>
        <w:t>Definice pojistné události:</w:t>
      </w:r>
    </w:p>
    <w:p w14:paraId="7DC0E8C3" w14:textId="77777777" w:rsidR="002F0CBB" w:rsidRPr="002F0CBB" w:rsidRDefault="002F0CBB" w:rsidP="002F0CBB">
      <w:pPr>
        <w:autoSpaceDE w:val="0"/>
        <w:autoSpaceDN w:val="0"/>
        <w:adjustRightInd w:val="0"/>
        <w:spacing w:line="320" w:lineRule="atLeast"/>
        <w:contextualSpacing/>
        <w:jc w:val="both"/>
        <w:rPr>
          <w:b/>
          <w:sz w:val="20"/>
        </w:rPr>
      </w:pPr>
    </w:p>
    <w:p w14:paraId="6CAE7CC5"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Pojistnou událostí je vznik povinnosti pojištěného nahradit újmu specifikovanou pojistnou smlouvou, která byla způsobená poškozenému v souvislosti s činností nebo vztahem pojištěného uvedeným v pojistné smlouvě, a se kterou je spojena povinnost pojistitele poskytnout pojistné plnění.</w:t>
      </w:r>
    </w:p>
    <w:p w14:paraId="7CF58793"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 xml:space="preserve"> </w:t>
      </w:r>
    </w:p>
    <w:p w14:paraId="725F15E6" w14:textId="0BC59C0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Dat</w:t>
      </w:r>
      <w:r w:rsidR="00290C65">
        <w:rPr>
          <w:rFonts w:ascii="Calibri" w:hAnsi="Calibri" w:cs="Calibri"/>
          <w:sz w:val="24"/>
          <w:szCs w:val="24"/>
        </w:rPr>
        <w:t xml:space="preserve">em vzniku pojistné události je </w:t>
      </w:r>
      <w:r w:rsidRPr="004E35B2">
        <w:rPr>
          <w:rFonts w:ascii="Calibri" w:hAnsi="Calibri" w:cs="Calibri"/>
          <w:sz w:val="24"/>
          <w:szCs w:val="24"/>
        </w:rPr>
        <w:t>uplatnění oprávněného nároku na náhradu újmy vůči pojištěnému, pokud je s ním spojena povinnost pojistitele poskytnout pojistné plnění</w:t>
      </w:r>
    </w:p>
    <w:p w14:paraId="44D8105D"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p>
    <w:p w14:paraId="2FF8AAB6"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Pojistitel je povinen poskytnout pojistné plnění za předpokladu, že:</w:t>
      </w:r>
    </w:p>
    <w:p w14:paraId="71B9C34F"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1.</w:t>
      </w:r>
      <w:r w:rsidRPr="004E35B2">
        <w:rPr>
          <w:rFonts w:ascii="Calibri" w:hAnsi="Calibri" w:cs="Calibri"/>
          <w:sz w:val="24"/>
          <w:szCs w:val="24"/>
        </w:rPr>
        <w:tab/>
        <w:t>příčina vzniku újmy, tj. porušení právní povinnosti nebo jiná právní skutečnost, v jejímž důsledku újma vznikla, nastala nejdříve po níže uvedeném datu a na území vymezeném v pojistné smlouvě jako místo pojištění či územní platnost pojištění, v případě odpovědnosti za újmu způsobenou vadou výrobku či vadně provedenou fyzickou (manuální) prací, je podmínkou uvedení výrobku na trh nebo vadné provedení a předání fyzické (manuální) práce po níže uvedeném datu a na území vymezeném v pojistné smlouvy jako místo pojištění či územní platnost pojištění,</w:t>
      </w:r>
    </w:p>
    <w:p w14:paraId="7E869A91"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 xml:space="preserve"> 2.</w:t>
      </w:r>
      <w:r w:rsidRPr="004E35B2">
        <w:rPr>
          <w:rFonts w:ascii="Calibri" w:hAnsi="Calibri" w:cs="Calibri"/>
          <w:sz w:val="24"/>
          <w:szCs w:val="24"/>
        </w:rPr>
        <w:tab/>
        <w:t xml:space="preserve">poškozený poprvé písemně uplatnil nárok na náhradu újmy proti pojištěnému v době trvání pojištění dle této pojistné smlouvy, </w:t>
      </w:r>
    </w:p>
    <w:p w14:paraId="0CE4AA09" w14:textId="0F7744EE"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3.</w:t>
      </w:r>
      <w:r w:rsidRPr="004E35B2">
        <w:rPr>
          <w:rFonts w:ascii="Calibri" w:hAnsi="Calibri" w:cs="Calibri"/>
          <w:sz w:val="24"/>
          <w:szCs w:val="24"/>
        </w:rPr>
        <w:tab/>
        <w:t xml:space="preserve">pojištěný uplatnil nárok na plnění proti pojistiteli </w:t>
      </w:r>
      <w:r w:rsidRPr="00096F91">
        <w:rPr>
          <w:rFonts w:ascii="Calibri" w:hAnsi="Calibri" w:cs="Calibri"/>
          <w:sz w:val="24"/>
          <w:szCs w:val="24"/>
        </w:rPr>
        <w:t xml:space="preserve">nejpozději </w:t>
      </w:r>
      <w:r w:rsidR="00290C65" w:rsidRPr="00096F91">
        <w:rPr>
          <w:rFonts w:ascii="Calibri" w:hAnsi="Calibri" w:cs="Calibri"/>
          <w:sz w:val="24"/>
          <w:szCs w:val="24"/>
        </w:rPr>
        <w:t xml:space="preserve">90 dní </w:t>
      </w:r>
      <w:r w:rsidRPr="00096F91">
        <w:rPr>
          <w:rFonts w:ascii="Calibri" w:hAnsi="Calibri" w:cs="Calibri"/>
          <w:sz w:val="24"/>
          <w:szCs w:val="24"/>
        </w:rPr>
        <w:t xml:space="preserve">po zániku </w:t>
      </w:r>
      <w:r w:rsidRPr="004E35B2">
        <w:rPr>
          <w:rFonts w:ascii="Calibri" w:hAnsi="Calibri" w:cs="Calibri"/>
          <w:sz w:val="24"/>
          <w:szCs w:val="24"/>
        </w:rPr>
        <w:t>pojištění,</w:t>
      </w:r>
    </w:p>
    <w:p w14:paraId="3B5BCA66"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4.</w:t>
      </w:r>
      <w:r w:rsidRPr="004E35B2">
        <w:rPr>
          <w:rFonts w:ascii="Calibri" w:hAnsi="Calibri" w:cs="Calibri"/>
          <w:sz w:val="24"/>
          <w:szCs w:val="24"/>
        </w:rPr>
        <w:tab/>
        <w:t xml:space="preserve">pojištěný za újmu odpovídá podle právního řádu státu nacházejícího se na území uvedeném pro tyto účely v pojistné smlouvě (místo pojištění či územní platnost pojištění); </w:t>
      </w:r>
    </w:p>
    <w:p w14:paraId="4B708E8F"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Dnem uplatnění nároku na náhradu újmy poškozeným je den, kdy byl pojištěnému prokazatelně doručen písemný požadavek poškozeného na náhradu újmy, přičemž v tomto prvotním požadavku nemusí být uvedena výše uplatňovaného nároku. Za uplatnění požadavku poškozeného na náhradu újmy se nepovažuje ústně vyslovený požadavek, stížnost na postup pojištěného nebo jakákoliv informace o možném pochybení pojištěného při poskytování léčebné péče.</w:t>
      </w:r>
    </w:p>
    <w:p w14:paraId="3819E62E"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 xml:space="preserve"> </w:t>
      </w:r>
    </w:p>
    <w:p w14:paraId="54A05192"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Pojistitel není povinen poskytnout pojistné plnění ze škodných událostí, jejichž příčina nastala před sjednaným počátkem pojištění, pokud:</w:t>
      </w:r>
    </w:p>
    <w:p w14:paraId="2566263B"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lastRenderedPageBreak/>
        <w:t>a) pojistníkovi nebo pojištěnému bylo nebo mohlo být v době uzavření pojistné smlouvy známo porušení právní povinnosti nebo jiná skutečnost, které by mohly být důvodem vzniku práva na pojistné plnění,</w:t>
      </w:r>
    </w:p>
    <w:p w14:paraId="5AD57741"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b) pojistníkovi nebo pojištěnému byl nebo mohl být v době uzavření pojistné smlouvy znám vznik škodné události, která by mohla být důvodem vzniku práva na pojistné plnění,</w:t>
      </w:r>
    </w:p>
    <w:p w14:paraId="4A4CDFF0"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 xml:space="preserve">c) se na škodnou událost vztahuje pojištění sjednané jinou pojistnou smlouvou, bez ohledu na to, se kterým pojistitelem byla uzavřena. </w:t>
      </w:r>
    </w:p>
    <w:p w14:paraId="0237E68A" w14:textId="77777777" w:rsidR="002F0CBB" w:rsidRPr="004E35B2" w:rsidRDefault="002F0CBB" w:rsidP="002F0CBB">
      <w:pPr>
        <w:autoSpaceDE w:val="0"/>
        <w:autoSpaceDN w:val="0"/>
        <w:adjustRightInd w:val="0"/>
        <w:spacing w:line="320" w:lineRule="atLeast"/>
        <w:contextualSpacing/>
        <w:jc w:val="both"/>
        <w:rPr>
          <w:rFonts w:ascii="Calibri" w:hAnsi="Calibri" w:cs="Calibri"/>
          <w:sz w:val="24"/>
          <w:szCs w:val="24"/>
        </w:rPr>
      </w:pPr>
    </w:p>
    <w:p w14:paraId="3593E246" w14:textId="77777777" w:rsidR="00234022" w:rsidRPr="004E35B2" w:rsidRDefault="002F0CBB" w:rsidP="002F0CBB">
      <w:pPr>
        <w:autoSpaceDE w:val="0"/>
        <w:autoSpaceDN w:val="0"/>
        <w:adjustRightInd w:val="0"/>
        <w:spacing w:line="320" w:lineRule="atLeast"/>
        <w:contextualSpacing/>
        <w:jc w:val="both"/>
        <w:rPr>
          <w:rFonts w:ascii="Calibri" w:hAnsi="Calibri" w:cs="Calibri"/>
          <w:sz w:val="24"/>
          <w:szCs w:val="24"/>
        </w:rPr>
      </w:pPr>
      <w:r w:rsidRPr="004E35B2">
        <w:rPr>
          <w:rFonts w:ascii="Calibri" w:hAnsi="Calibri" w:cs="Calibri"/>
          <w:sz w:val="24"/>
          <w:szCs w:val="24"/>
        </w:rPr>
        <w:t>Pojištění se však vztahuje na ty případy (vědomost o porušení právní povinnosti nebo jiné skutečnosti která by mohla být důvodem práva na pojistné plnění; vědomost o vzniku škodné události) dle písm. a) a b) předchozího odstavce, o kterých byl pojistitel prokazatelně informován na základě písemného seznamu událostí, poskytnutých pojistníkem či pojištěným před uzavřením pojistné smlouvy. Za případy ve smyslu tohoto ujednání se považuje písemná stížnost, trestní oznámení bez vzneseného nároku na náhradu újmy, vyžádání si zdravotní dokumentace v souvislosti s vzniklou újmou nebo s nesprávně poskytnutou zdravotní péči a dále též vznik újmy, která svým charakterem nespadá do běžné komplikace a která byla pojištěným prošetřena a vyhodnocena jako možné pochybení pojištěného. V seznamu pak budou uvedeny detaily případu, zejména datum vzniku újmy, datum doručení písemné stížnosti, trestního oznámení či vyžádání si zdravotní dokumentace, stručný popis události, popis újmy (charakter poškození zdraví či jiná újma), vyjádření pojištěného k jeho odpovědnosti v rámci dané události, jiné relevantní informace (např. znalecký posudek, reakce pojištěného vůči poškozenému).</w:t>
      </w:r>
    </w:p>
    <w:p w14:paraId="055C5C5F" w14:textId="77777777" w:rsidR="002F0CBB" w:rsidRPr="002F0CBB" w:rsidRDefault="002F0CBB" w:rsidP="002F0CBB">
      <w:pPr>
        <w:autoSpaceDE w:val="0"/>
        <w:autoSpaceDN w:val="0"/>
        <w:adjustRightInd w:val="0"/>
        <w:spacing w:line="320" w:lineRule="atLeast"/>
        <w:contextualSpacing/>
        <w:jc w:val="both"/>
        <w:rPr>
          <w:sz w:val="20"/>
        </w:rPr>
      </w:pPr>
    </w:p>
    <w:sectPr w:rsidR="002F0CBB" w:rsidRPr="002F0CBB" w:rsidSect="005C057D">
      <w:headerReference w:type="even" r:id="rId8"/>
      <w:headerReference w:type="default" r:id="rId9"/>
      <w:footerReference w:type="even" r:id="rId10"/>
      <w:footerReference w:type="default" r:id="rId11"/>
      <w:headerReference w:type="firs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760ECB" w14:textId="77777777" w:rsidR="00C358C1" w:rsidRDefault="00C358C1">
      <w:r>
        <w:separator/>
      </w:r>
    </w:p>
  </w:endnote>
  <w:endnote w:type="continuationSeparator" w:id="0">
    <w:p w14:paraId="2D09B338" w14:textId="77777777" w:rsidR="00C358C1" w:rsidRDefault="00C35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C491A" w14:textId="77777777" w:rsidR="005C057D" w:rsidRDefault="005C057D" w:rsidP="0089056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13D3E98" w14:textId="77777777" w:rsidR="005C057D" w:rsidRDefault="005C057D" w:rsidP="00B9762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89F81" w14:textId="77777777" w:rsidR="005C057D" w:rsidRDefault="005C057D" w:rsidP="0089056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96F91">
      <w:rPr>
        <w:rStyle w:val="slostrnky"/>
        <w:noProof/>
      </w:rPr>
      <w:t>9</w:t>
    </w:r>
    <w:r>
      <w:rPr>
        <w:rStyle w:val="slostrnky"/>
      </w:rPr>
      <w:fldChar w:fldCharType="end"/>
    </w:r>
  </w:p>
  <w:p w14:paraId="733BD51D" w14:textId="77777777" w:rsidR="005C057D" w:rsidRDefault="005C057D" w:rsidP="00B97622">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845947" w14:textId="77777777" w:rsidR="00C358C1" w:rsidRDefault="00C358C1">
      <w:r>
        <w:separator/>
      </w:r>
    </w:p>
  </w:footnote>
  <w:footnote w:type="continuationSeparator" w:id="0">
    <w:p w14:paraId="0E875D4C" w14:textId="77777777" w:rsidR="00C358C1" w:rsidRDefault="00C35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556AA" w14:textId="77777777" w:rsidR="005C057D" w:rsidRDefault="006762EA">
    <w:pPr>
      <w:pStyle w:val="Zhlav"/>
    </w:pPr>
    <w:r>
      <w:rPr>
        <w:noProof/>
      </w:rPr>
      <w:pict w14:anchorId="6E40AC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20469" o:spid="_x0000_s2050" type="#_x0000_t136" style="position:absolute;margin-left:0;margin-top:0;width:617.9pt;height:56.15pt;rotation:315;z-index:-251658752;mso-position-horizontal:center;mso-position-horizontal-relative:margin;mso-position-vertical:center;mso-position-vertical-relative:margin" o:allowincell="f" fillcolor="silver" stroked="f">
          <v:fill opacity=".5"/>
          <v:textpath style="font-family:&quot;Arial&quot;;font-size:1pt" string="Thomayerova nemocnic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51E6E" w14:textId="77777777" w:rsidR="005C057D" w:rsidRDefault="005C057D">
    <w:pPr>
      <w:pStyle w:val="Zhlav"/>
    </w:pPr>
    <w:r>
      <w:rPr>
        <w:noProof/>
        <w:lang w:val="cs-CZ" w:eastAsia="cs-CZ"/>
      </w:rPr>
      <w:drawing>
        <wp:anchor distT="0" distB="0" distL="114300" distR="114300" simplePos="0" relativeHeight="251658752" behindDoc="0" locked="0" layoutInCell="1" allowOverlap="1" wp14:anchorId="4218CAF4" wp14:editId="4C2EBF71">
          <wp:simplePos x="0" y="0"/>
          <wp:positionH relativeFrom="margin">
            <wp:posOffset>4228465</wp:posOffset>
          </wp:positionH>
          <wp:positionV relativeFrom="paragraph">
            <wp:posOffset>-250825</wp:posOffset>
          </wp:positionV>
          <wp:extent cx="2152015" cy="575945"/>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46A08" w14:textId="77777777" w:rsidR="005C057D" w:rsidRDefault="006762EA">
    <w:pPr>
      <w:pStyle w:val="Zhlav"/>
    </w:pPr>
    <w:r>
      <w:rPr>
        <w:noProof/>
      </w:rPr>
      <w:pict w14:anchorId="387332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20468" o:spid="_x0000_s2049" type="#_x0000_t136" style="position:absolute;margin-left:0;margin-top:0;width:617.9pt;height:56.15pt;rotation:315;z-index:-251659776;mso-position-horizontal:center;mso-position-horizontal-relative:margin;mso-position-vertical:center;mso-position-vertical-relative:margin" o:allowincell="f" fillcolor="silver" stroked="f">
          <v:fill opacity=".5"/>
          <v:textpath style="font-family:&quot;Arial&quot;;font-size:1pt" string="Thomayerova nemocnic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138D9BA"/>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FA635C"/>
    <w:multiLevelType w:val="hybridMultilevel"/>
    <w:tmpl w:val="06F400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4217D2"/>
    <w:multiLevelType w:val="multilevel"/>
    <w:tmpl w:val="2AFC7A60"/>
    <w:name w:val="HeadingNumberRep"/>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pStyle w:val="Nadpis1"/>
      <w:lvlText w:val="%5."/>
      <w:lvlJc w:val="left"/>
      <w:pPr>
        <w:tabs>
          <w:tab w:val="num" w:pos="0"/>
        </w:tabs>
        <w:ind w:left="0" w:firstLine="0"/>
      </w:pPr>
      <w:rPr>
        <w:b w:val="0"/>
        <w:i w:val="0"/>
        <w:caps w:val="0"/>
        <w:smallCaps w:val="0"/>
        <w:vanish/>
        <w:u w:val="none"/>
      </w:rPr>
    </w:lvl>
    <w:lvl w:ilvl="5">
      <w:start w:val="1"/>
      <w:numFmt w:val="decimal"/>
      <w:pStyle w:val="Nadpis2"/>
      <w:lvlText w:val="%5.%6."/>
      <w:lvlJc w:val="left"/>
      <w:pPr>
        <w:tabs>
          <w:tab w:val="num" w:pos="840"/>
        </w:tabs>
        <w:ind w:left="840" w:hanging="840"/>
      </w:pPr>
    </w:lvl>
    <w:lvl w:ilvl="6">
      <w:start w:val="1"/>
      <w:numFmt w:val="decimal"/>
      <w:pStyle w:val="Nadpis3"/>
      <w:lvlText w:val="%5.%6.%7."/>
      <w:lvlJc w:val="left"/>
      <w:pPr>
        <w:tabs>
          <w:tab w:val="num" w:pos="1080"/>
        </w:tabs>
        <w:ind w:left="1080" w:hanging="1080"/>
      </w:pPr>
    </w:lvl>
    <w:lvl w:ilvl="7">
      <w:start w:val="1"/>
      <w:numFmt w:val="decimal"/>
      <w:pStyle w:val="Nadpis4"/>
      <w:lvlText w:val="%5.%6.%7.%8."/>
      <w:lvlJc w:val="left"/>
      <w:pPr>
        <w:tabs>
          <w:tab w:val="num" w:pos="1080"/>
        </w:tabs>
        <w:ind w:left="1080" w:hanging="1080"/>
      </w:pPr>
    </w:lvl>
    <w:lvl w:ilvl="8">
      <w:start w:val="1"/>
      <w:numFmt w:val="decimal"/>
      <w:pStyle w:val="Nadpis5"/>
      <w:lvlText w:val="%5.%6.%7.%8.%9"/>
      <w:lvlJc w:val="left"/>
      <w:pPr>
        <w:tabs>
          <w:tab w:val="num" w:pos="1080"/>
        </w:tabs>
        <w:ind w:left="1080" w:hanging="1080"/>
      </w:pPr>
    </w:lvl>
  </w:abstractNum>
  <w:abstractNum w:abstractNumId="3" w15:restartNumberingAfterBreak="0">
    <w:nsid w:val="07B1372F"/>
    <w:multiLevelType w:val="hybridMultilevel"/>
    <w:tmpl w:val="208AAE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885A92"/>
    <w:multiLevelType w:val="hybridMultilevel"/>
    <w:tmpl w:val="052248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0D3D3F"/>
    <w:multiLevelType w:val="hybridMultilevel"/>
    <w:tmpl w:val="BF1A008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0316F7"/>
    <w:multiLevelType w:val="multilevel"/>
    <w:tmpl w:val="BFE0A2A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CD20383"/>
    <w:multiLevelType w:val="hybridMultilevel"/>
    <w:tmpl w:val="0868DE78"/>
    <w:lvl w:ilvl="0" w:tplc="28444704">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601741"/>
    <w:multiLevelType w:val="hybridMultilevel"/>
    <w:tmpl w:val="C1CC3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2B1809"/>
    <w:multiLevelType w:val="hybridMultilevel"/>
    <w:tmpl w:val="F2CC00D6"/>
    <w:lvl w:ilvl="0" w:tplc="18FCECB2">
      <w:start w:val="1"/>
      <w:numFmt w:val="lowerLetter"/>
      <w:lvlText w:val="%1)"/>
      <w:lvlJc w:val="left"/>
      <w:pPr>
        <w:ind w:left="399" w:hanging="360"/>
      </w:pPr>
      <w:rPr>
        <w:rFonts w:hint="default"/>
      </w:rPr>
    </w:lvl>
    <w:lvl w:ilvl="1" w:tplc="04050019" w:tentative="1">
      <w:start w:val="1"/>
      <w:numFmt w:val="lowerLetter"/>
      <w:lvlText w:val="%2."/>
      <w:lvlJc w:val="left"/>
      <w:pPr>
        <w:ind w:left="1119" w:hanging="360"/>
      </w:pPr>
    </w:lvl>
    <w:lvl w:ilvl="2" w:tplc="0405001B" w:tentative="1">
      <w:start w:val="1"/>
      <w:numFmt w:val="lowerRoman"/>
      <w:lvlText w:val="%3."/>
      <w:lvlJc w:val="right"/>
      <w:pPr>
        <w:ind w:left="1839" w:hanging="180"/>
      </w:pPr>
    </w:lvl>
    <w:lvl w:ilvl="3" w:tplc="0405000F" w:tentative="1">
      <w:start w:val="1"/>
      <w:numFmt w:val="decimal"/>
      <w:lvlText w:val="%4."/>
      <w:lvlJc w:val="left"/>
      <w:pPr>
        <w:ind w:left="2559" w:hanging="360"/>
      </w:pPr>
    </w:lvl>
    <w:lvl w:ilvl="4" w:tplc="04050019" w:tentative="1">
      <w:start w:val="1"/>
      <w:numFmt w:val="lowerLetter"/>
      <w:lvlText w:val="%5."/>
      <w:lvlJc w:val="left"/>
      <w:pPr>
        <w:ind w:left="3279" w:hanging="360"/>
      </w:pPr>
    </w:lvl>
    <w:lvl w:ilvl="5" w:tplc="0405001B" w:tentative="1">
      <w:start w:val="1"/>
      <w:numFmt w:val="lowerRoman"/>
      <w:lvlText w:val="%6."/>
      <w:lvlJc w:val="right"/>
      <w:pPr>
        <w:ind w:left="3999" w:hanging="180"/>
      </w:pPr>
    </w:lvl>
    <w:lvl w:ilvl="6" w:tplc="0405000F" w:tentative="1">
      <w:start w:val="1"/>
      <w:numFmt w:val="decimal"/>
      <w:lvlText w:val="%7."/>
      <w:lvlJc w:val="left"/>
      <w:pPr>
        <w:ind w:left="4719" w:hanging="360"/>
      </w:pPr>
    </w:lvl>
    <w:lvl w:ilvl="7" w:tplc="04050019" w:tentative="1">
      <w:start w:val="1"/>
      <w:numFmt w:val="lowerLetter"/>
      <w:lvlText w:val="%8."/>
      <w:lvlJc w:val="left"/>
      <w:pPr>
        <w:ind w:left="5439" w:hanging="360"/>
      </w:pPr>
    </w:lvl>
    <w:lvl w:ilvl="8" w:tplc="0405001B" w:tentative="1">
      <w:start w:val="1"/>
      <w:numFmt w:val="lowerRoman"/>
      <w:lvlText w:val="%9."/>
      <w:lvlJc w:val="right"/>
      <w:pPr>
        <w:ind w:left="6159" w:hanging="180"/>
      </w:pPr>
    </w:lvl>
  </w:abstractNum>
  <w:abstractNum w:abstractNumId="10" w15:restartNumberingAfterBreak="0">
    <w:nsid w:val="1F0945BA"/>
    <w:multiLevelType w:val="hybridMultilevel"/>
    <w:tmpl w:val="537420DA"/>
    <w:lvl w:ilvl="0" w:tplc="CEB0E066">
      <w:start w:val="1"/>
      <w:numFmt w:val="lowerLetter"/>
      <w:lvlText w:val="%1)"/>
      <w:lvlJc w:val="left"/>
      <w:pPr>
        <w:ind w:left="399" w:hanging="360"/>
      </w:pPr>
      <w:rPr>
        <w:rFonts w:hint="default"/>
      </w:rPr>
    </w:lvl>
    <w:lvl w:ilvl="1" w:tplc="04050019" w:tentative="1">
      <w:start w:val="1"/>
      <w:numFmt w:val="lowerLetter"/>
      <w:lvlText w:val="%2."/>
      <w:lvlJc w:val="left"/>
      <w:pPr>
        <w:ind w:left="1119" w:hanging="360"/>
      </w:pPr>
    </w:lvl>
    <w:lvl w:ilvl="2" w:tplc="0405001B" w:tentative="1">
      <w:start w:val="1"/>
      <w:numFmt w:val="lowerRoman"/>
      <w:lvlText w:val="%3."/>
      <w:lvlJc w:val="right"/>
      <w:pPr>
        <w:ind w:left="1839" w:hanging="180"/>
      </w:pPr>
    </w:lvl>
    <w:lvl w:ilvl="3" w:tplc="0405000F" w:tentative="1">
      <w:start w:val="1"/>
      <w:numFmt w:val="decimal"/>
      <w:lvlText w:val="%4."/>
      <w:lvlJc w:val="left"/>
      <w:pPr>
        <w:ind w:left="2559" w:hanging="360"/>
      </w:pPr>
    </w:lvl>
    <w:lvl w:ilvl="4" w:tplc="04050019" w:tentative="1">
      <w:start w:val="1"/>
      <w:numFmt w:val="lowerLetter"/>
      <w:lvlText w:val="%5."/>
      <w:lvlJc w:val="left"/>
      <w:pPr>
        <w:ind w:left="3279" w:hanging="360"/>
      </w:pPr>
    </w:lvl>
    <w:lvl w:ilvl="5" w:tplc="0405001B" w:tentative="1">
      <w:start w:val="1"/>
      <w:numFmt w:val="lowerRoman"/>
      <w:lvlText w:val="%6."/>
      <w:lvlJc w:val="right"/>
      <w:pPr>
        <w:ind w:left="3999" w:hanging="180"/>
      </w:pPr>
    </w:lvl>
    <w:lvl w:ilvl="6" w:tplc="0405000F" w:tentative="1">
      <w:start w:val="1"/>
      <w:numFmt w:val="decimal"/>
      <w:lvlText w:val="%7."/>
      <w:lvlJc w:val="left"/>
      <w:pPr>
        <w:ind w:left="4719" w:hanging="360"/>
      </w:pPr>
    </w:lvl>
    <w:lvl w:ilvl="7" w:tplc="04050019" w:tentative="1">
      <w:start w:val="1"/>
      <w:numFmt w:val="lowerLetter"/>
      <w:lvlText w:val="%8."/>
      <w:lvlJc w:val="left"/>
      <w:pPr>
        <w:ind w:left="5439" w:hanging="360"/>
      </w:pPr>
    </w:lvl>
    <w:lvl w:ilvl="8" w:tplc="0405001B" w:tentative="1">
      <w:start w:val="1"/>
      <w:numFmt w:val="lowerRoman"/>
      <w:lvlText w:val="%9."/>
      <w:lvlJc w:val="right"/>
      <w:pPr>
        <w:ind w:left="6159" w:hanging="180"/>
      </w:pPr>
    </w:lvl>
  </w:abstractNum>
  <w:abstractNum w:abstractNumId="11" w15:restartNumberingAfterBreak="0">
    <w:nsid w:val="217E27EF"/>
    <w:multiLevelType w:val="hybridMultilevel"/>
    <w:tmpl w:val="AB40503E"/>
    <w:lvl w:ilvl="0" w:tplc="708C3788">
      <w:start w:val="1"/>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22B251F4"/>
    <w:multiLevelType w:val="hybridMultilevel"/>
    <w:tmpl w:val="A9106D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091320"/>
    <w:multiLevelType w:val="singleLevel"/>
    <w:tmpl w:val="6EAE7D90"/>
    <w:lvl w:ilvl="0">
      <w:start w:val="1"/>
      <w:numFmt w:val="decimal"/>
      <w:pStyle w:val="Obsah1"/>
      <w:lvlText w:val="%1."/>
      <w:lvlJc w:val="left"/>
      <w:pPr>
        <w:tabs>
          <w:tab w:val="num" w:pos="360"/>
        </w:tabs>
        <w:ind w:left="360" w:hanging="360"/>
      </w:pPr>
      <w:rPr>
        <w:rFonts w:ascii="Arial" w:hAnsi="Arial" w:hint="default"/>
        <w:b w:val="0"/>
        <w:i w:val="0"/>
        <w:sz w:val="22"/>
        <w:szCs w:val="22"/>
      </w:rPr>
    </w:lvl>
  </w:abstractNum>
  <w:abstractNum w:abstractNumId="14" w15:restartNumberingAfterBreak="0">
    <w:nsid w:val="2D863B94"/>
    <w:multiLevelType w:val="multilevel"/>
    <w:tmpl w:val="801AFC84"/>
    <w:styleLink w:val="EurovalleyHeadingNumbered"/>
    <w:lvl w:ilvl="0">
      <w:start w:val="1"/>
      <w:numFmt w:val="decimal"/>
      <w:pStyle w:val="SectionStartEV"/>
      <w:lvlText w:val="%1"/>
      <w:lvlJc w:val="left"/>
      <w:pPr>
        <w:ind w:left="227" w:hanging="227"/>
      </w:pPr>
      <w:rPr>
        <w:rFonts w:ascii="Arial" w:hAnsi="Arial" w:hint="default"/>
        <w:b w:val="0"/>
        <w:i w:val="0"/>
        <w:color w:val="9BBB59"/>
        <w:sz w:val="72"/>
        <w:u w:val="none" w:color="4F81BD"/>
      </w:rPr>
    </w:lvl>
    <w:lvl w:ilvl="1">
      <w:start w:val="1"/>
      <w:numFmt w:val="decimal"/>
      <w:pStyle w:val="Heading2NumberedEV"/>
      <w:lvlText w:val="%1.%2"/>
      <w:lvlJc w:val="left"/>
      <w:pPr>
        <w:ind w:left="369" w:hanging="227"/>
      </w:pPr>
      <w:rPr>
        <w:rFonts w:ascii="Arial" w:hAnsi="Arial" w:hint="default"/>
        <w:b/>
        <w:i w:val="0"/>
        <w:color w:val="C0504D"/>
        <w:sz w:val="28"/>
      </w:rPr>
    </w:lvl>
    <w:lvl w:ilvl="2">
      <w:start w:val="1"/>
      <w:numFmt w:val="decimal"/>
      <w:pStyle w:val="Heading3NumberedEV"/>
      <w:lvlText w:val="%1.%2.%3"/>
      <w:lvlJc w:val="left"/>
      <w:pPr>
        <w:tabs>
          <w:tab w:val="num" w:pos="1134"/>
        </w:tabs>
        <w:ind w:left="0" w:firstLine="0"/>
      </w:pPr>
      <w:rPr>
        <w:rFonts w:ascii="Arial" w:hAnsi="Arial" w:hint="default"/>
        <w:b/>
        <w:bCs w:val="0"/>
        <w:i w:val="0"/>
        <w:iCs w:val="0"/>
        <w:caps w:val="0"/>
        <w:smallCaps w:val="0"/>
        <w:strike w:val="0"/>
        <w:dstrike w:val="0"/>
        <w:snapToGrid w:val="0"/>
        <w:vanish w:val="0"/>
        <w:color w:val="auto"/>
        <w:spacing w:val="0"/>
        <w:w w:val="0"/>
        <w:kern w:val="0"/>
        <w:position w:val="0"/>
        <w:sz w:val="28"/>
        <w:szCs w:val="0"/>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0" w:firstLine="0"/>
      </w:pPr>
      <w:rPr>
        <w:rFonts w:ascii="Arial" w:hAnsi="Arial" w:hint="default"/>
        <w:b/>
        <w:i/>
        <w:sz w:val="24"/>
      </w:rPr>
    </w:lvl>
    <w:lvl w:ilvl="4">
      <w:start w:val="1"/>
      <w:numFmt w:val="lowerLetter"/>
      <w:lvlText w:val="(%5)"/>
      <w:lvlJc w:val="left"/>
      <w:pPr>
        <w:ind w:left="227" w:hanging="227"/>
      </w:pPr>
      <w:rPr>
        <w:rFonts w:hint="default"/>
      </w:rPr>
    </w:lvl>
    <w:lvl w:ilvl="5">
      <w:start w:val="1"/>
      <w:numFmt w:val="lowerRoman"/>
      <w:lvlText w:val="(%6)"/>
      <w:lvlJc w:val="left"/>
      <w:pPr>
        <w:ind w:left="227" w:hanging="227"/>
      </w:pPr>
      <w:rPr>
        <w:rFonts w:hint="default"/>
      </w:rPr>
    </w:lvl>
    <w:lvl w:ilvl="6">
      <w:start w:val="1"/>
      <w:numFmt w:val="decimal"/>
      <w:lvlText w:val="%7."/>
      <w:lvlJc w:val="left"/>
      <w:pPr>
        <w:ind w:left="227" w:hanging="227"/>
      </w:pPr>
      <w:rPr>
        <w:rFonts w:hint="default"/>
      </w:rPr>
    </w:lvl>
    <w:lvl w:ilvl="7">
      <w:start w:val="1"/>
      <w:numFmt w:val="lowerLetter"/>
      <w:lvlText w:val="%8."/>
      <w:lvlJc w:val="left"/>
      <w:pPr>
        <w:ind w:left="227" w:hanging="227"/>
      </w:pPr>
      <w:rPr>
        <w:rFonts w:hint="default"/>
      </w:rPr>
    </w:lvl>
    <w:lvl w:ilvl="8">
      <w:start w:val="1"/>
      <w:numFmt w:val="lowerRoman"/>
      <w:lvlText w:val="%9."/>
      <w:lvlJc w:val="left"/>
      <w:pPr>
        <w:ind w:left="227" w:hanging="227"/>
      </w:pPr>
      <w:rPr>
        <w:rFonts w:hint="default"/>
      </w:rPr>
    </w:lvl>
  </w:abstractNum>
  <w:abstractNum w:abstractNumId="15" w15:restartNumberingAfterBreak="0">
    <w:nsid w:val="2E7610AF"/>
    <w:multiLevelType w:val="multilevel"/>
    <w:tmpl w:val="8D14D45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F051571"/>
    <w:multiLevelType w:val="hybridMultilevel"/>
    <w:tmpl w:val="B03CA2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770E33"/>
    <w:multiLevelType w:val="hybridMultilevel"/>
    <w:tmpl w:val="9D7C1E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F9618B9"/>
    <w:multiLevelType w:val="hybridMultilevel"/>
    <w:tmpl w:val="AF0E3A2A"/>
    <w:lvl w:ilvl="0" w:tplc="22F2094A">
      <w:start w:val="50"/>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552FED"/>
    <w:multiLevelType w:val="hybridMultilevel"/>
    <w:tmpl w:val="629A22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6C7BE5"/>
    <w:multiLevelType w:val="multilevel"/>
    <w:tmpl w:val="1BAE52F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46697DB9"/>
    <w:multiLevelType w:val="hybridMultilevel"/>
    <w:tmpl w:val="83C0E8EC"/>
    <w:lvl w:ilvl="0" w:tplc="880CD6EA">
      <w:start w:val="250"/>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46DB7B98"/>
    <w:multiLevelType w:val="hybridMultilevel"/>
    <w:tmpl w:val="9B5C85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EE6E9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4D823E47"/>
    <w:multiLevelType w:val="hybridMultilevel"/>
    <w:tmpl w:val="ABDCAA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D06A91"/>
    <w:multiLevelType w:val="hybridMultilevel"/>
    <w:tmpl w:val="305CC762"/>
    <w:lvl w:ilvl="0" w:tplc="BEB48984">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7C161B1"/>
    <w:multiLevelType w:val="hybridMultilevel"/>
    <w:tmpl w:val="37E25814"/>
    <w:lvl w:ilvl="0" w:tplc="5FA244D2">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CA49CF"/>
    <w:multiLevelType w:val="hybridMultilevel"/>
    <w:tmpl w:val="B1D6E0AE"/>
    <w:lvl w:ilvl="0" w:tplc="884AFCEC">
      <w:start w:val="1"/>
      <w:numFmt w:val="lowerLetter"/>
      <w:lvlText w:val="%1)"/>
      <w:lvlJc w:val="left"/>
      <w:pPr>
        <w:ind w:left="399" w:hanging="360"/>
      </w:pPr>
      <w:rPr>
        <w:rFonts w:hint="default"/>
      </w:rPr>
    </w:lvl>
    <w:lvl w:ilvl="1" w:tplc="04050019" w:tentative="1">
      <w:start w:val="1"/>
      <w:numFmt w:val="lowerLetter"/>
      <w:lvlText w:val="%2."/>
      <w:lvlJc w:val="left"/>
      <w:pPr>
        <w:ind w:left="1119" w:hanging="360"/>
      </w:pPr>
    </w:lvl>
    <w:lvl w:ilvl="2" w:tplc="0405001B" w:tentative="1">
      <w:start w:val="1"/>
      <w:numFmt w:val="lowerRoman"/>
      <w:lvlText w:val="%3."/>
      <w:lvlJc w:val="right"/>
      <w:pPr>
        <w:ind w:left="1839" w:hanging="180"/>
      </w:pPr>
    </w:lvl>
    <w:lvl w:ilvl="3" w:tplc="0405000F" w:tentative="1">
      <w:start w:val="1"/>
      <w:numFmt w:val="decimal"/>
      <w:lvlText w:val="%4."/>
      <w:lvlJc w:val="left"/>
      <w:pPr>
        <w:ind w:left="2559" w:hanging="360"/>
      </w:pPr>
    </w:lvl>
    <w:lvl w:ilvl="4" w:tplc="04050019" w:tentative="1">
      <w:start w:val="1"/>
      <w:numFmt w:val="lowerLetter"/>
      <w:lvlText w:val="%5."/>
      <w:lvlJc w:val="left"/>
      <w:pPr>
        <w:ind w:left="3279" w:hanging="360"/>
      </w:pPr>
    </w:lvl>
    <w:lvl w:ilvl="5" w:tplc="0405001B" w:tentative="1">
      <w:start w:val="1"/>
      <w:numFmt w:val="lowerRoman"/>
      <w:lvlText w:val="%6."/>
      <w:lvlJc w:val="right"/>
      <w:pPr>
        <w:ind w:left="3999" w:hanging="180"/>
      </w:pPr>
    </w:lvl>
    <w:lvl w:ilvl="6" w:tplc="0405000F" w:tentative="1">
      <w:start w:val="1"/>
      <w:numFmt w:val="decimal"/>
      <w:lvlText w:val="%7."/>
      <w:lvlJc w:val="left"/>
      <w:pPr>
        <w:ind w:left="4719" w:hanging="360"/>
      </w:pPr>
    </w:lvl>
    <w:lvl w:ilvl="7" w:tplc="04050019" w:tentative="1">
      <w:start w:val="1"/>
      <w:numFmt w:val="lowerLetter"/>
      <w:lvlText w:val="%8."/>
      <w:lvlJc w:val="left"/>
      <w:pPr>
        <w:ind w:left="5439" w:hanging="360"/>
      </w:pPr>
    </w:lvl>
    <w:lvl w:ilvl="8" w:tplc="0405001B" w:tentative="1">
      <w:start w:val="1"/>
      <w:numFmt w:val="lowerRoman"/>
      <w:lvlText w:val="%9."/>
      <w:lvlJc w:val="right"/>
      <w:pPr>
        <w:ind w:left="6159" w:hanging="180"/>
      </w:pPr>
    </w:lvl>
  </w:abstractNum>
  <w:abstractNum w:abstractNumId="28" w15:restartNumberingAfterBreak="0">
    <w:nsid w:val="60782921"/>
    <w:multiLevelType w:val="hybridMultilevel"/>
    <w:tmpl w:val="39E0B9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12D44F7"/>
    <w:multiLevelType w:val="hybridMultilevel"/>
    <w:tmpl w:val="148A57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1A420E9"/>
    <w:multiLevelType w:val="multilevel"/>
    <w:tmpl w:val="B22E1C88"/>
    <w:lvl w:ilvl="0">
      <w:start w:val="4"/>
      <w:numFmt w:val="decimal"/>
      <w:lvlText w:val="%1."/>
      <w:lvlJc w:val="left"/>
      <w:pPr>
        <w:tabs>
          <w:tab w:val="num" w:pos="567"/>
        </w:tabs>
        <w:ind w:left="567" w:hanging="567"/>
      </w:pPr>
      <w:rPr>
        <w:rFonts w:ascii="Arial" w:hAnsi="Arial" w:hint="default"/>
        <w:b/>
        <w:i w:val="0"/>
        <w:color w:val="FFFFFF"/>
        <w:sz w:val="16"/>
        <w:szCs w:val="20"/>
      </w:rPr>
    </w:lvl>
    <w:lvl w:ilvl="1">
      <w:start w:val="1"/>
      <w:numFmt w:val="decimal"/>
      <w:lvlText w:val="%1.%2."/>
      <w:lvlJc w:val="left"/>
      <w:pPr>
        <w:tabs>
          <w:tab w:val="num" w:pos="567"/>
        </w:tabs>
        <w:ind w:left="567" w:hanging="567"/>
      </w:pPr>
      <w:rPr>
        <w:rFonts w:ascii="Arial" w:hAnsi="Arial" w:hint="default"/>
        <w:b w:val="0"/>
        <w:i w:val="0"/>
        <w:sz w:val="16"/>
        <w:szCs w:val="20"/>
      </w:rPr>
    </w:lvl>
    <w:lvl w:ilvl="2">
      <w:start w:val="1"/>
      <w:numFmt w:val="decimal"/>
      <w:lvlText w:val="%1.%2.%3."/>
      <w:lvlJc w:val="left"/>
      <w:pPr>
        <w:tabs>
          <w:tab w:val="num" w:pos="567"/>
        </w:tabs>
        <w:ind w:left="567" w:hanging="567"/>
      </w:pPr>
      <w:rPr>
        <w:rFonts w:ascii="Arial" w:hAnsi="Arial" w:hint="default"/>
        <w:b w:val="0"/>
        <w:i w:val="0"/>
        <w:color w:val="000000"/>
        <w:sz w:val="16"/>
        <w:szCs w:val="20"/>
      </w:rPr>
    </w:lvl>
    <w:lvl w:ilvl="3">
      <w:start w:val="1"/>
      <w:numFmt w:val="decimal"/>
      <w:lvlText w:val="%1.%2.%3.%4."/>
      <w:lvlJc w:val="left"/>
      <w:pPr>
        <w:tabs>
          <w:tab w:val="num" w:pos="72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1" w15:restartNumberingAfterBreak="0">
    <w:nsid w:val="634A4EEA"/>
    <w:multiLevelType w:val="hybridMultilevel"/>
    <w:tmpl w:val="207A4A78"/>
    <w:lvl w:ilvl="0" w:tplc="430CA704">
      <w:start w:val="1"/>
      <w:numFmt w:val="upperLetter"/>
      <w:lvlText w:val="%1."/>
      <w:lvlJc w:val="left"/>
      <w:pPr>
        <w:tabs>
          <w:tab w:val="num" w:pos="567"/>
        </w:tabs>
        <w:ind w:left="567" w:hanging="567"/>
      </w:pPr>
      <w:rPr>
        <w:rFonts w:ascii="Arial" w:eastAsia="Times New Roman" w:hAnsi="Arial" w:cs="Arial" w:hint="default"/>
        <w:b/>
      </w:rPr>
    </w:lvl>
    <w:lvl w:ilvl="1" w:tplc="4F54A480">
      <w:start w:val="1"/>
      <w:numFmt w:val="bullet"/>
      <w:lvlText w:val=""/>
      <w:lvlJc w:val="left"/>
      <w:pPr>
        <w:tabs>
          <w:tab w:val="num" w:pos="880"/>
        </w:tabs>
        <w:ind w:left="880" w:hanging="340"/>
      </w:pPr>
      <w:rPr>
        <w:rFonts w:ascii="Wingdings" w:hAnsi="Wingding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71726E2"/>
    <w:multiLevelType w:val="hybridMultilevel"/>
    <w:tmpl w:val="3EC21DD8"/>
    <w:lvl w:ilvl="0" w:tplc="41D62E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7BA20AF"/>
    <w:multiLevelType w:val="hybridMultilevel"/>
    <w:tmpl w:val="F710E0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D95865"/>
    <w:multiLevelType w:val="hybridMultilevel"/>
    <w:tmpl w:val="B90482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960280"/>
    <w:multiLevelType w:val="hybridMultilevel"/>
    <w:tmpl w:val="29A2A8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5F345D0"/>
    <w:multiLevelType w:val="multilevel"/>
    <w:tmpl w:val="4B14BBA8"/>
    <w:name w:val="SREP_HEAD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pStyle w:val="TableBullet1"/>
      <w:lvlText w:val="•"/>
      <w:lvlJc w:val="left"/>
      <w:pPr>
        <w:tabs>
          <w:tab w:val="num" w:pos="360"/>
        </w:tabs>
        <w:ind w:left="360" w:hanging="360"/>
      </w:pPr>
      <w:rPr>
        <w:rFonts w:ascii="Arial" w:hAnsi="Arial" w:cs="Arial"/>
      </w:rPr>
    </w:lvl>
    <w:lvl w:ilvl="5">
      <w:start w:val="1"/>
      <w:numFmt w:val="lowerRoman"/>
      <w:pStyle w:val="TableBullet2"/>
      <w:lvlText w:val="─"/>
      <w:lvlJc w:val="left"/>
      <w:pPr>
        <w:tabs>
          <w:tab w:val="num" w:pos="720"/>
        </w:tabs>
        <w:ind w:left="720" w:hanging="360"/>
      </w:pPr>
      <w:rPr>
        <w:rFonts w:ascii="Arial" w:hAnsi="Arial" w:cs="Arial"/>
      </w:rPr>
    </w:lvl>
    <w:lvl w:ilvl="6">
      <w:start w:val="1"/>
      <w:numFmt w:val="decimal"/>
      <w:pStyle w:val="TableBullet3"/>
      <w:lvlText w:val="−"/>
      <w:lvlJc w:val="left"/>
      <w:pPr>
        <w:tabs>
          <w:tab w:val="num" w:pos="1080"/>
        </w:tabs>
        <w:ind w:left="1080" w:hanging="360"/>
      </w:pPr>
      <w:rPr>
        <w:rFonts w:ascii="Arial" w:hAnsi="Arial" w:cs="Arial"/>
      </w:rPr>
    </w:lvl>
    <w:lvl w:ilvl="7">
      <w:start w:val="1"/>
      <w:numFmt w:val="lowerLetter"/>
      <w:pStyle w:val="TableBullet4"/>
      <w:lvlText w:val="−"/>
      <w:lvlJc w:val="left"/>
      <w:pPr>
        <w:tabs>
          <w:tab w:val="num" w:pos="1440"/>
        </w:tabs>
        <w:ind w:left="1440" w:hanging="360"/>
      </w:pPr>
      <w:rPr>
        <w:rFonts w:ascii="Arial" w:hAnsi="Arial" w:cs="Arial"/>
      </w:rPr>
    </w:lvl>
    <w:lvl w:ilvl="8">
      <w:start w:val="1"/>
      <w:numFmt w:val="lowerRoman"/>
      <w:lvlText w:val="%9."/>
      <w:lvlJc w:val="left"/>
      <w:pPr>
        <w:tabs>
          <w:tab w:val="num" w:pos="3240"/>
        </w:tabs>
        <w:ind w:left="3240" w:hanging="360"/>
      </w:pPr>
    </w:lvl>
  </w:abstractNum>
  <w:abstractNum w:abstractNumId="37" w15:restartNumberingAfterBreak="0">
    <w:nsid w:val="7613075D"/>
    <w:multiLevelType w:val="hybridMultilevel"/>
    <w:tmpl w:val="9EA81F4A"/>
    <w:lvl w:ilvl="0" w:tplc="D862BD5A">
      <w:start w:val="1"/>
      <w:numFmt w:val="decimal"/>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8" w15:restartNumberingAfterBreak="0">
    <w:nsid w:val="7ABA090F"/>
    <w:multiLevelType w:val="hybridMultilevel"/>
    <w:tmpl w:val="4D7E685E"/>
    <w:lvl w:ilvl="0" w:tplc="5FD846CE">
      <w:start w:val="1"/>
      <w:numFmt w:val="decimal"/>
      <w:lvlText w:val="%1)"/>
      <w:lvlJc w:val="left"/>
      <w:pPr>
        <w:tabs>
          <w:tab w:val="num" w:pos="900"/>
        </w:tabs>
        <w:ind w:left="900" w:hanging="360"/>
      </w:pPr>
      <w:rPr>
        <w:rFonts w:hint="default"/>
        <w:color w:val="00000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9" w15:restartNumberingAfterBreak="0">
    <w:nsid w:val="7CC15759"/>
    <w:multiLevelType w:val="hybridMultilevel"/>
    <w:tmpl w:val="9556B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36"/>
  </w:num>
  <w:num w:numId="4">
    <w:abstractNumId w:val="0"/>
  </w:num>
  <w:num w:numId="5">
    <w:abstractNumId w:val="30"/>
  </w:num>
  <w:num w:numId="6">
    <w:abstractNumId w:val="15"/>
  </w:num>
  <w:num w:numId="7">
    <w:abstractNumId w:val="31"/>
  </w:num>
  <w:num w:numId="8">
    <w:abstractNumId w:val="38"/>
  </w:num>
  <w:num w:numId="9">
    <w:abstractNumId w:val="37"/>
  </w:num>
  <w:num w:numId="10">
    <w:abstractNumId w:val="23"/>
  </w:num>
  <w:num w:numId="11">
    <w:abstractNumId w:val="18"/>
  </w:num>
  <w:num w:numId="12">
    <w:abstractNumId w:val="32"/>
  </w:num>
  <w:num w:numId="13">
    <w:abstractNumId w:val="26"/>
  </w:num>
  <w:num w:numId="14">
    <w:abstractNumId w:val="3"/>
  </w:num>
  <w:num w:numId="15">
    <w:abstractNumId w:val="12"/>
  </w:num>
  <w:num w:numId="16">
    <w:abstractNumId w:val="33"/>
  </w:num>
  <w:num w:numId="17">
    <w:abstractNumId w:val="9"/>
  </w:num>
  <w:num w:numId="18">
    <w:abstractNumId w:val="10"/>
  </w:num>
  <w:num w:numId="19">
    <w:abstractNumId w:val="27"/>
  </w:num>
  <w:num w:numId="20">
    <w:abstractNumId w:val="2"/>
  </w:num>
  <w:num w:numId="21">
    <w:abstractNumId w:val="24"/>
  </w:num>
  <w:num w:numId="22">
    <w:abstractNumId w:val="7"/>
  </w:num>
  <w:num w:numId="23">
    <w:abstractNumId w:val="11"/>
  </w:num>
  <w:num w:numId="24">
    <w:abstractNumId w:val="34"/>
  </w:num>
  <w:num w:numId="25">
    <w:abstractNumId w:val="8"/>
  </w:num>
  <w:num w:numId="26">
    <w:abstractNumId w:val="5"/>
  </w:num>
  <w:num w:numId="27">
    <w:abstractNumId w:val="6"/>
  </w:num>
  <w:num w:numId="28">
    <w:abstractNumId w:val="4"/>
  </w:num>
  <w:num w:numId="29">
    <w:abstractNumId w:val="35"/>
  </w:num>
  <w:num w:numId="30">
    <w:abstractNumId w:val="39"/>
  </w:num>
  <w:num w:numId="31">
    <w:abstractNumId w:val="17"/>
  </w:num>
  <w:num w:numId="32">
    <w:abstractNumId w:val="20"/>
  </w:num>
  <w:num w:numId="33">
    <w:abstractNumId w:val="16"/>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4"/>
    <w:lvlOverride w:ilvl="0">
      <w:lvl w:ilvl="0">
        <w:start w:val="1"/>
        <w:numFmt w:val="decimal"/>
        <w:pStyle w:val="SectionStartEV"/>
        <w:lvlText w:val="%1"/>
        <w:lvlJc w:val="left"/>
        <w:pPr>
          <w:ind w:left="227" w:hanging="227"/>
        </w:pPr>
        <w:rPr>
          <w:rFonts w:ascii="Arial" w:hAnsi="Arial" w:hint="default"/>
          <w:b w:val="0"/>
          <w:i w:val="0"/>
          <w:color w:val="9BBB59" w:themeColor="accent3"/>
          <w:sz w:val="72"/>
          <w:u w:val="none" w:color="4F81BD" w:themeColor="accent1"/>
        </w:rPr>
      </w:lvl>
    </w:lvlOverride>
    <w:lvlOverride w:ilvl="1">
      <w:lvl w:ilvl="1">
        <w:start w:val="1"/>
        <w:numFmt w:val="decimal"/>
        <w:pStyle w:val="Heading2NumberedEV"/>
        <w:lvlText w:val="%1.%2"/>
        <w:lvlJc w:val="left"/>
        <w:pPr>
          <w:ind w:left="369" w:hanging="227"/>
        </w:pPr>
        <w:rPr>
          <w:rFonts w:ascii="Arial" w:hAnsi="Arial" w:hint="default"/>
          <w:b/>
          <w:i w:val="0"/>
          <w:color w:val="C0504D" w:themeColor="accent2"/>
          <w:sz w:val="28"/>
        </w:rPr>
      </w:lvl>
    </w:lvlOverride>
    <w:lvlOverride w:ilvl="2">
      <w:lvl w:ilvl="2">
        <w:start w:val="1"/>
        <w:numFmt w:val="decimal"/>
        <w:pStyle w:val="Heading3NumberedEV"/>
        <w:lvlText w:val="%1.%2.%3"/>
        <w:lvlJc w:val="left"/>
        <w:pPr>
          <w:tabs>
            <w:tab w:val="num" w:pos="1134"/>
          </w:tabs>
          <w:ind w:left="0" w:firstLine="0"/>
        </w:pPr>
        <w:rPr>
          <w:rFonts w:ascii="Arial" w:hAnsi="Arial" w:hint="default"/>
          <w:b/>
          <w:bCs w:val="0"/>
          <w:i w:val="0"/>
          <w:iCs w:val="0"/>
          <w:caps w:val="0"/>
          <w:smallCaps w:val="0"/>
          <w:strike w:val="0"/>
          <w:dstrike w:val="0"/>
          <w:outline w:val="0"/>
          <w:shadow w:val="0"/>
          <w:emboss w:val="0"/>
          <w:imprint w:val="0"/>
          <w:snapToGrid w:val="0"/>
          <w:vanish w:val="0"/>
          <w:color w:val="auto"/>
          <w:spacing w:val="0"/>
          <w:w w:val="0"/>
          <w:kern w:val="0"/>
          <w:position w:val="0"/>
          <w:sz w:val="28"/>
          <w:szCs w:val="0"/>
          <w:u w:val="none" w:color="000000"/>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tabs>
            <w:tab w:val="num" w:pos="1134"/>
          </w:tabs>
          <w:ind w:left="0" w:firstLine="0"/>
        </w:pPr>
        <w:rPr>
          <w:rFonts w:ascii="Arial" w:hAnsi="Arial" w:hint="default"/>
          <w:b/>
          <w:i/>
          <w:sz w:val="24"/>
        </w:rPr>
      </w:lvl>
    </w:lvlOverride>
    <w:lvlOverride w:ilvl="4">
      <w:lvl w:ilvl="4">
        <w:start w:val="1"/>
        <w:numFmt w:val="lowerLetter"/>
        <w:lvlText w:val="(%5)"/>
        <w:lvlJc w:val="left"/>
        <w:pPr>
          <w:ind w:left="227" w:hanging="227"/>
        </w:pPr>
        <w:rPr>
          <w:rFonts w:hint="default"/>
        </w:rPr>
      </w:lvl>
    </w:lvlOverride>
    <w:lvlOverride w:ilvl="5">
      <w:lvl w:ilvl="5">
        <w:start w:val="1"/>
        <w:numFmt w:val="lowerRoman"/>
        <w:lvlText w:val="(%6)"/>
        <w:lvlJc w:val="left"/>
        <w:pPr>
          <w:ind w:left="227" w:hanging="227"/>
        </w:pPr>
        <w:rPr>
          <w:rFonts w:hint="default"/>
        </w:rPr>
      </w:lvl>
    </w:lvlOverride>
    <w:lvlOverride w:ilvl="6">
      <w:lvl w:ilvl="6">
        <w:start w:val="1"/>
        <w:numFmt w:val="decimal"/>
        <w:lvlText w:val="%7."/>
        <w:lvlJc w:val="left"/>
        <w:pPr>
          <w:ind w:left="227" w:hanging="227"/>
        </w:pPr>
        <w:rPr>
          <w:rFonts w:hint="default"/>
        </w:rPr>
      </w:lvl>
    </w:lvlOverride>
    <w:lvlOverride w:ilvl="7">
      <w:lvl w:ilvl="7">
        <w:start w:val="1"/>
        <w:numFmt w:val="lowerLetter"/>
        <w:lvlText w:val="%8."/>
        <w:lvlJc w:val="left"/>
        <w:pPr>
          <w:ind w:left="227" w:hanging="227"/>
        </w:pPr>
        <w:rPr>
          <w:rFonts w:hint="default"/>
        </w:rPr>
      </w:lvl>
    </w:lvlOverride>
    <w:lvlOverride w:ilvl="8">
      <w:lvl w:ilvl="8">
        <w:start w:val="1"/>
        <w:numFmt w:val="lowerRoman"/>
        <w:lvlText w:val="%9."/>
        <w:lvlJc w:val="left"/>
        <w:pPr>
          <w:ind w:left="227" w:hanging="227"/>
        </w:pPr>
        <w:rPr>
          <w:rFonts w:hint="default"/>
        </w:rPr>
      </w:lvl>
    </w:lvlOverride>
  </w:num>
  <w:num w:numId="37">
    <w:abstractNumId w:val="22"/>
  </w:num>
  <w:num w:numId="38">
    <w:abstractNumId w:val="29"/>
  </w:num>
  <w:num w:numId="39">
    <w:abstractNumId w:val="1"/>
  </w:num>
  <w:num w:numId="40">
    <w:abstractNumId w:val="14"/>
    <w:lvlOverride w:ilvl="0">
      <w:lvl w:ilvl="0">
        <w:start w:val="1"/>
        <w:numFmt w:val="decimal"/>
        <w:pStyle w:val="SectionStartEV"/>
        <w:lvlText w:val="%1"/>
        <w:lvlJc w:val="left"/>
        <w:pPr>
          <w:ind w:left="227" w:hanging="227"/>
        </w:pPr>
        <w:rPr>
          <w:rFonts w:ascii="Arial" w:hAnsi="Arial" w:hint="default"/>
          <w:b w:val="0"/>
          <w:i w:val="0"/>
          <w:color w:val="9BBB59" w:themeColor="accent3"/>
          <w:sz w:val="72"/>
          <w:u w:val="none" w:color="4F81BD" w:themeColor="accent1"/>
        </w:rPr>
      </w:lvl>
    </w:lvlOverride>
    <w:lvlOverride w:ilvl="1">
      <w:lvl w:ilvl="1">
        <w:start w:val="1"/>
        <w:numFmt w:val="decimal"/>
        <w:pStyle w:val="Heading2NumberedEV"/>
        <w:lvlText w:val="%1.%2"/>
        <w:lvlJc w:val="left"/>
        <w:pPr>
          <w:ind w:left="369" w:hanging="227"/>
        </w:pPr>
        <w:rPr>
          <w:rFonts w:ascii="Arial" w:hAnsi="Arial" w:hint="default"/>
          <w:b/>
          <w:i w:val="0"/>
          <w:color w:val="C0504D" w:themeColor="accent2"/>
          <w:sz w:val="28"/>
        </w:rPr>
      </w:lvl>
    </w:lvlOverride>
    <w:lvlOverride w:ilvl="2">
      <w:lvl w:ilvl="2">
        <w:start w:val="1"/>
        <w:numFmt w:val="decimal"/>
        <w:pStyle w:val="Heading3NumberedEV"/>
        <w:lvlText w:val="%1.%2.%3"/>
        <w:lvlJc w:val="left"/>
        <w:pPr>
          <w:tabs>
            <w:tab w:val="num" w:pos="1134"/>
          </w:tabs>
          <w:ind w:left="0" w:firstLine="0"/>
        </w:pPr>
        <w:rPr>
          <w:rFonts w:ascii="Arial" w:hAnsi="Arial" w:hint="default"/>
          <w:b/>
          <w:bCs w:val="0"/>
          <w:i w:val="0"/>
          <w:iCs w:val="0"/>
          <w:caps w:val="0"/>
          <w:smallCaps w:val="0"/>
          <w:strike w:val="0"/>
          <w:dstrike w:val="0"/>
          <w:outline w:val="0"/>
          <w:shadow w:val="0"/>
          <w:emboss w:val="0"/>
          <w:imprint w:val="0"/>
          <w:snapToGrid w:val="0"/>
          <w:vanish w:val="0"/>
          <w:color w:val="auto"/>
          <w:spacing w:val="0"/>
          <w:w w:val="0"/>
          <w:kern w:val="0"/>
          <w:position w:val="0"/>
          <w:sz w:val="28"/>
          <w:szCs w:val="0"/>
          <w:u w:val="none" w:color="000000"/>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tabs>
            <w:tab w:val="num" w:pos="1134"/>
          </w:tabs>
          <w:ind w:left="0" w:firstLine="0"/>
        </w:pPr>
        <w:rPr>
          <w:rFonts w:ascii="Arial" w:hAnsi="Arial" w:hint="default"/>
          <w:b/>
          <w:i/>
          <w:sz w:val="24"/>
        </w:rPr>
      </w:lvl>
    </w:lvlOverride>
    <w:lvlOverride w:ilvl="4">
      <w:lvl w:ilvl="4">
        <w:start w:val="1"/>
        <w:numFmt w:val="lowerLetter"/>
        <w:lvlText w:val="(%5)"/>
        <w:lvlJc w:val="left"/>
        <w:pPr>
          <w:ind w:left="227" w:hanging="227"/>
        </w:pPr>
        <w:rPr>
          <w:rFonts w:hint="default"/>
        </w:rPr>
      </w:lvl>
    </w:lvlOverride>
    <w:lvlOverride w:ilvl="5">
      <w:lvl w:ilvl="5">
        <w:start w:val="1"/>
        <w:numFmt w:val="lowerRoman"/>
        <w:lvlText w:val="(%6)"/>
        <w:lvlJc w:val="left"/>
        <w:pPr>
          <w:ind w:left="227" w:hanging="227"/>
        </w:pPr>
        <w:rPr>
          <w:rFonts w:hint="default"/>
        </w:rPr>
      </w:lvl>
    </w:lvlOverride>
    <w:lvlOverride w:ilvl="6">
      <w:lvl w:ilvl="6">
        <w:start w:val="1"/>
        <w:numFmt w:val="decimal"/>
        <w:lvlText w:val="%7."/>
        <w:lvlJc w:val="left"/>
        <w:pPr>
          <w:ind w:left="227" w:hanging="227"/>
        </w:pPr>
        <w:rPr>
          <w:rFonts w:hint="default"/>
        </w:rPr>
      </w:lvl>
    </w:lvlOverride>
    <w:lvlOverride w:ilvl="7">
      <w:lvl w:ilvl="7">
        <w:start w:val="1"/>
        <w:numFmt w:val="lowerLetter"/>
        <w:lvlText w:val="%8."/>
        <w:lvlJc w:val="left"/>
        <w:pPr>
          <w:ind w:left="227" w:hanging="227"/>
        </w:pPr>
        <w:rPr>
          <w:rFonts w:hint="default"/>
        </w:rPr>
      </w:lvl>
    </w:lvlOverride>
    <w:lvlOverride w:ilvl="8">
      <w:lvl w:ilvl="8">
        <w:start w:val="1"/>
        <w:numFmt w:val="lowerRoman"/>
        <w:lvlText w:val="%9."/>
        <w:lvlJc w:val="left"/>
        <w:pPr>
          <w:ind w:left="227" w:hanging="227"/>
        </w:pPr>
        <w:rPr>
          <w:rFonts w:hint="default"/>
        </w:rPr>
      </w:lvl>
    </w:lvlOverride>
  </w:num>
  <w:num w:numId="41">
    <w:abstractNumId w:val="14"/>
    <w:lvlOverride w:ilvl="0">
      <w:lvl w:ilvl="0">
        <w:start w:val="1"/>
        <w:numFmt w:val="decimal"/>
        <w:pStyle w:val="SectionStartEV"/>
        <w:lvlText w:val="%1"/>
        <w:lvlJc w:val="left"/>
        <w:pPr>
          <w:ind w:left="227" w:hanging="227"/>
        </w:pPr>
        <w:rPr>
          <w:rFonts w:ascii="Arial" w:hAnsi="Arial" w:hint="default"/>
          <w:b w:val="0"/>
          <w:i w:val="0"/>
          <w:color w:val="9BBB59" w:themeColor="accent3"/>
          <w:sz w:val="72"/>
          <w:u w:val="none" w:color="4F81BD" w:themeColor="accent1"/>
        </w:rPr>
      </w:lvl>
    </w:lvlOverride>
    <w:lvlOverride w:ilvl="1">
      <w:lvl w:ilvl="1">
        <w:start w:val="1"/>
        <w:numFmt w:val="decimal"/>
        <w:pStyle w:val="Heading2NumberedEV"/>
        <w:lvlText w:val="%1.%2"/>
        <w:lvlJc w:val="left"/>
        <w:pPr>
          <w:ind w:left="369" w:hanging="227"/>
        </w:pPr>
        <w:rPr>
          <w:rFonts w:ascii="Arial" w:hAnsi="Arial" w:hint="default"/>
          <w:b/>
          <w:i w:val="0"/>
          <w:color w:val="C0504D" w:themeColor="accent2"/>
          <w:sz w:val="28"/>
        </w:rPr>
      </w:lvl>
    </w:lvlOverride>
    <w:lvlOverride w:ilvl="2">
      <w:lvl w:ilvl="2">
        <w:start w:val="1"/>
        <w:numFmt w:val="decimal"/>
        <w:pStyle w:val="Heading3NumberedEV"/>
        <w:lvlText w:val="%1.%2.%3"/>
        <w:lvlJc w:val="left"/>
        <w:pPr>
          <w:tabs>
            <w:tab w:val="num" w:pos="1134"/>
          </w:tabs>
          <w:ind w:left="0" w:firstLine="0"/>
        </w:pPr>
        <w:rPr>
          <w:rFonts w:ascii="Arial" w:hAnsi="Arial" w:hint="default"/>
          <w:b/>
          <w:bCs w:val="0"/>
          <w:i w:val="0"/>
          <w:iCs w:val="0"/>
          <w:caps w:val="0"/>
          <w:smallCaps w:val="0"/>
          <w:strike w:val="0"/>
          <w:dstrike w:val="0"/>
          <w:outline w:val="0"/>
          <w:shadow w:val="0"/>
          <w:emboss w:val="0"/>
          <w:imprint w:val="0"/>
          <w:snapToGrid w:val="0"/>
          <w:vanish w:val="0"/>
          <w:color w:val="auto"/>
          <w:spacing w:val="0"/>
          <w:w w:val="0"/>
          <w:kern w:val="0"/>
          <w:position w:val="0"/>
          <w:sz w:val="28"/>
          <w:szCs w:val="0"/>
          <w:u w:val="none" w:color="000000"/>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tabs>
            <w:tab w:val="num" w:pos="1134"/>
          </w:tabs>
          <w:ind w:left="0" w:firstLine="0"/>
        </w:pPr>
        <w:rPr>
          <w:rFonts w:ascii="Arial" w:hAnsi="Arial" w:hint="default"/>
          <w:b/>
          <w:i/>
          <w:sz w:val="24"/>
        </w:rPr>
      </w:lvl>
    </w:lvlOverride>
    <w:lvlOverride w:ilvl="4">
      <w:lvl w:ilvl="4">
        <w:start w:val="1"/>
        <w:numFmt w:val="lowerLetter"/>
        <w:lvlText w:val="(%5)"/>
        <w:lvlJc w:val="left"/>
        <w:pPr>
          <w:ind w:left="227" w:hanging="227"/>
        </w:pPr>
        <w:rPr>
          <w:rFonts w:hint="default"/>
        </w:rPr>
      </w:lvl>
    </w:lvlOverride>
    <w:lvlOverride w:ilvl="5">
      <w:lvl w:ilvl="5">
        <w:start w:val="1"/>
        <w:numFmt w:val="lowerRoman"/>
        <w:lvlText w:val="(%6)"/>
        <w:lvlJc w:val="left"/>
        <w:pPr>
          <w:ind w:left="227" w:hanging="227"/>
        </w:pPr>
        <w:rPr>
          <w:rFonts w:hint="default"/>
        </w:rPr>
      </w:lvl>
    </w:lvlOverride>
    <w:lvlOverride w:ilvl="6">
      <w:lvl w:ilvl="6">
        <w:start w:val="1"/>
        <w:numFmt w:val="decimal"/>
        <w:lvlText w:val="%7."/>
        <w:lvlJc w:val="left"/>
        <w:pPr>
          <w:ind w:left="227" w:hanging="227"/>
        </w:pPr>
        <w:rPr>
          <w:rFonts w:hint="default"/>
        </w:rPr>
      </w:lvl>
    </w:lvlOverride>
    <w:lvlOverride w:ilvl="7">
      <w:lvl w:ilvl="7">
        <w:start w:val="1"/>
        <w:numFmt w:val="lowerLetter"/>
        <w:lvlText w:val="%8."/>
        <w:lvlJc w:val="left"/>
        <w:pPr>
          <w:ind w:left="227" w:hanging="227"/>
        </w:pPr>
        <w:rPr>
          <w:rFonts w:hint="default"/>
        </w:rPr>
      </w:lvl>
    </w:lvlOverride>
    <w:lvlOverride w:ilvl="8">
      <w:lvl w:ilvl="8">
        <w:start w:val="1"/>
        <w:numFmt w:val="lowerRoman"/>
        <w:lvlText w:val="%9."/>
        <w:lvlJc w:val="left"/>
        <w:pPr>
          <w:ind w:left="227" w:hanging="227"/>
        </w:pPr>
        <w:rPr>
          <w:rFonts w:hint="default"/>
        </w:rPr>
      </w:lvl>
    </w:lvlOverride>
  </w:num>
  <w:num w:numId="42">
    <w:abstractNumId w:val="28"/>
  </w:num>
  <w:num w:numId="43">
    <w:abstractNumId w:val="14"/>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7DF0"/>
    <w:rsid w:val="000003DB"/>
    <w:rsid w:val="000038E6"/>
    <w:rsid w:val="00010479"/>
    <w:rsid w:val="0001184E"/>
    <w:rsid w:val="000236D8"/>
    <w:rsid w:val="00025888"/>
    <w:rsid w:val="00026783"/>
    <w:rsid w:val="00026919"/>
    <w:rsid w:val="000324E7"/>
    <w:rsid w:val="000405CC"/>
    <w:rsid w:val="00040F7C"/>
    <w:rsid w:val="00042167"/>
    <w:rsid w:val="00053928"/>
    <w:rsid w:val="00056405"/>
    <w:rsid w:val="00056CE1"/>
    <w:rsid w:val="00064BC8"/>
    <w:rsid w:val="00064F45"/>
    <w:rsid w:val="000669B7"/>
    <w:rsid w:val="00081CFE"/>
    <w:rsid w:val="00082E99"/>
    <w:rsid w:val="00083E96"/>
    <w:rsid w:val="000856B4"/>
    <w:rsid w:val="000858B5"/>
    <w:rsid w:val="0008721B"/>
    <w:rsid w:val="00092CB0"/>
    <w:rsid w:val="00096F91"/>
    <w:rsid w:val="00097B06"/>
    <w:rsid w:val="000B0F1B"/>
    <w:rsid w:val="000B1FBB"/>
    <w:rsid w:val="000B2E9B"/>
    <w:rsid w:val="000B3B39"/>
    <w:rsid w:val="000B6386"/>
    <w:rsid w:val="000B71B0"/>
    <w:rsid w:val="000C5B57"/>
    <w:rsid w:val="000D2925"/>
    <w:rsid w:val="000D5AAA"/>
    <w:rsid w:val="000F0536"/>
    <w:rsid w:val="000F0DE6"/>
    <w:rsid w:val="000F3961"/>
    <w:rsid w:val="000F51E2"/>
    <w:rsid w:val="000F6B30"/>
    <w:rsid w:val="00102DD2"/>
    <w:rsid w:val="00103A44"/>
    <w:rsid w:val="00106CD2"/>
    <w:rsid w:val="00107E63"/>
    <w:rsid w:val="00112A46"/>
    <w:rsid w:val="00115733"/>
    <w:rsid w:val="00123751"/>
    <w:rsid w:val="00124FC7"/>
    <w:rsid w:val="001268EF"/>
    <w:rsid w:val="00127837"/>
    <w:rsid w:val="001328A2"/>
    <w:rsid w:val="00141264"/>
    <w:rsid w:val="00146401"/>
    <w:rsid w:val="001503A6"/>
    <w:rsid w:val="00161E8D"/>
    <w:rsid w:val="001656AE"/>
    <w:rsid w:val="00175D14"/>
    <w:rsid w:val="00176DA1"/>
    <w:rsid w:val="001841B5"/>
    <w:rsid w:val="00191938"/>
    <w:rsid w:val="00191A91"/>
    <w:rsid w:val="0019462D"/>
    <w:rsid w:val="0019736A"/>
    <w:rsid w:val="001A1DE4"/>
    <w:rsid w:val="001A3666"/>
    <w:rsid w:val="001B34A8"/>
    <w:rsid w:val="001B5574"/>
    <w:rsid w:val="001B638A"/>
    <w:rsid w:val="001B66B2"/>
    <w:rsid w:val="001C696A"/>
    <w:rsid w:val="001D0B75"/>
    <w:rsid w:val="001D1627"/>
    <w:rsid w:val="001D288F"/>
    <w:rsid w:val="001F04E8"/>
    <w:rsid w:val="001F0D32"/>
    <w:rsid w:val="001F1BC6"/>
    <w:rsid w:val="0020596F"/>
    <w:rsid w:val="00205E5C"/>
    <w:rsid w:val="00206FA8"/>
    <w:rsid w:val="00212847"/>
    <w:rsid w:val="00215FDB"/>
    <w:rsid w:val="002163F3"/>
    <w:rsid w:val="00217335"/>
    <w:rsid w:val="00223B87"/>
    <w:rsid w:val="00231452"/>
    <w:rsid w:val="00232304"/>
    <w:rsid w:val="00233ADF"/>
    <w:rsid w:val="00234022"/>
    <w:rsid w:val="002348DF"/>
    <w:rsid w:val="002350A5"/>
    <w:rsid w:val="00237049"/>
    <w:rsid w:val="00243B40"/>
    <w:rsid w:val="00263088"/>
    <w:rsid w:val="00264266"/>
    <w:rsid w:val="00266657"/>
    <w:rsid w:val="00270F18"/>
    <w:rsid w:val="0027251A"/>
    <w:rsid w:val="0027352E"/>
    <w:rsid w:val="0027417D"/>
    <w:rsid w:val="00275B8C"/>
    <w:rsid w:val="00290C65"/>
    <w:rsid w:val="00293819"/>
    <w:rsid w:val="002973CB"/>
    <w:rsid w:val="002A360D"/>
    <w:rsid w:val="002A74D6"/>
    <w:rsid w:val="002B5820"/>
    <w:rsid w:val="002C5B8C"/>
    <w:rsid w:val="002C6827"/>
    <w:rsid w:val="002C7FFC"/>
    <w:rsid w:val="002D19B3"/>
    <w:rsid w:val="002D23C9"/>
    <w:rsid w:val="002D26DA"/>
    <w:rsid w:val="002D2DF9"/>
    <w:rsid w:val="002D31B5"/>
    <w:rsid w:val="002D71D9"/>
    <w:rsid w:val="002E05A6"/>
    <w:rsid w:val="002E0B33"/>
    <w:rsid w:val="002E16D9"/>
    <w:rsid w:val="002F0CBB"/>
    <w:rsid w:val="002F2C15"/>
    <w:rsid w:val="00310F64"/>
    <w:rsid w:val="003202A8"/>
    <w:rsid w:val="0032047B"/>
    <w:rsid w:val="00322980"/>
    <w:rsid w:val="00324FF3"/>
    <w:rsid w:val="003344CB"/>
    <w:rsid w:val="00336217"/>
    <w:rsid w:val="00337E5D"/>
    <w:rsid w:val="00340E40"/>
    <w:rsid w:val="00343566"/>
    <w:rsid w:val="00344728"/>
    <w:rsid w:val="003459F1"/>
    <w:rsid w:val="00347453"/>
    <w:rsid w:val="00351285"/>
    <w:rsid w:val="00353405"/>
    <w:rsid w:val="00355A10"/>
    <w:rsid w:val="00356D9A"/>
    <w:rsid w:val="003767CE"/>
    <w:rsid w:val="003812EA"/>
    <w:rsid w:val="0038168F"/>
    <w:rsid w:val="003820BA"/>
    <w:rsid w:val="00383AE1"/>
    <w:rsid w:val="00384BAC"/>
    <w:rsid w:val="003855B7"/>
    <w:rsid w:val="003877A3"/>
    <w:rsid w:val="00387E29"/>
    <w:rsid w:val="003A128B"/>
    <w:rsid w:val="003A231B"/>
    <w:rsid w:val="003A35C3"/>
    <w:rsid w:val="003A476D"/>
    <w:rsid w:val="003A7542"/>
    <w:rsid w:val="003A7657"/>
    <w:rsid w:val="003B241F"/>
    <w:rsid w:val="003B64ED"/>
    <w:rsid w:val="003C2C54"/>
    <w:rsid w:val="003C695B"/>
    <w:rsid w:val="003D4782"/>
    <w:rsid w:val="003E1D61"/>
    <w:rsid w:val="003E2D0B"/>
    <w:rsid w:val="003E6835"/>
    <w:rsid w:val="003F143A"/>
    <w:rsid w:val="003F3CCA"/>
    <w:rsid w:val="00400EA7"/>
    <w:rsid w:val="00405950"/>
    <w:rsid w:val="00405E7A"/>
    <w:rsid w:val="00411416"/>
    <w:rsid w:val="00422CD8"/>
    <w:rsid w:val="00434369"/>
    <w:rsid w:val="00447CF3"/>
    <w:rsid w:val="00452BA5"/>
    <w:rsid w:val="00455FE5"/>
    <w:rsid w:val="004563DF"/>
    <w:rsid w:val="00456B15"/>
    <w:rsid w:val="00462D0F"/>
    <w:rsid w:val="004651C6"/>
    <w:rsid w:val="00466641"/>
    <w:rsid w:val="004716BF"/>
    <w:rsid w:val="004764AA"/>
    <w:rsid w:val="00477CEC"/>
    <w:rsid w:val="00483A48"/>
    <w:rsid w:val="00484441"/>
    <w:rsid w:val="004873C4"/>
    <w:rsid w:val="00493846"/>
    <w:rsid w:val="004A1049"/>
    <w:rsid w:val="004A198E"/>
    <w:rsid w:val="004A5067"/>
    <w:rsid w:val="004A699B"/>
    <w:rsid w:val="004B3C85"/>
    <w:rsid w:val="004D00BC"/>
    <w:rsid w:val="004D7BE3"/>
    <w:rsid w:val="004E31A0"/>
    <w:rsid w:val="004E35B2"/>
    <w:rsid w:val="004F0AC2"/>
    <w:rsid w:val="004F5C89"/>
    <w:rsid w:val="00500058"/>
    <w:rsid w:val="00503908"/>
    <w:rsid w:val="005057C8"/>
    <w:rsid w:val="00505ED8"/>
    <w:rsid w:val="005121A5"/>
    <w:rsid w:val="00513C02"/>
    <w:rsid w:val="0052341B"/>
    <w:rsid w:val="0052374E"/>
    <w:rsid w:val="0052468F"/>
    <w:rsid w:val="005254B7"/>
    <w:rsid w:val="005273E1"/>
    <w:rsid w:val="00527F54"/>
    <w:rsid w:val="00527F5E"/>
    <w:rsid w:val="00530229"/>
    <w:rsid w:val="00530935"/>
    <w:rsid w:val="005336B9"/>
    <w:rsid w:val="0053498B"/>
    <w:rsid w:val="00540E68"/>
    <w:rsid w:val="00543E2B"/>
    <w:rsid w:val="005447F8"/>
    <w:rsid w:val="00545DD4"/>
    <w:rsid w:val="005508F0"/>
    <w:rsid w:val="00554478"/>
    <w:rsid w:val="00555136"/>
    <w:rsid w:val="005579D0"/>
    <w:rsid w:val="0056162C"/>
    <w:rsid w:val="00561B74"/>
    <w:rsid w:val="00566AD1"/>
    <w:rsid w:val="00576DF0"/>
    <w:rsid w:val="005770CA"/>
    <w:rsid w:val="00583CF3"/>
    <w:rsid w:val="005864A9"/>
    <w:rsid w:val="00586CBF"/>
    <w:rsid w:val="00593071"/>
    <w:rsid w:val="00593683"/>
    <w:rsid w:val="0059379D"/>
    <w:rsid w:val="00593A2D"/>
    <w:rsid w:val="00594272"/>
    <w:rsid w:val="00595FAA"/>
    <w:rsid w:val="005964E1"/>
    <w:rsid w:val="00597C30"/>
    <w:rsid w:val="005A51EF"/>
    <w:rsid w:val="005A5EEA"/>
    <w:rsid w:val="005A69B1"/>
    <w:rsid w:val="005B31CC"/>
    <w:rsid w:val="005B411B"/>
    <w:rsid w:val="005C057D"/>
    <w:rsid w:val="005C1089"/>
    <w:rsid w:val="005C29E2"/>
    <w:rsid w:val="005C5EB2"/>
    <w:rsid w:val="005D2E47"/>
    <w:rsid w:val="005D728D"/>
    <w:rsid w:val="005E01BC"/>
    <w:rsid w:val="005F3F2E"/>
    <w:rsid w:val="005F5B3B"/>
    <w:rsid w:val="005F6D6F"/>
    <w:rsid w:val="005F6F23"/>
    <w:rsid w:val="006045FE"/>
    <w:rsid w:val="006053BA"/>
    <w:rsid w:val="00606DDF"/>
    <w:rsid w:val="00616CD5"/>
    <w:rsid w:val="00617708"/>
    <w:rsid w:val="006201DF"/>
    <w:rsid w:val="00630560"/>
    <w:rsid w:val="006375C0"/>
    <w:rsid w:val="00640859"/>
    <w:rsid w:val="00644997"/>
    <w:rsid w:val="00646BA3"/>
    <w:rsid w:val="00655E8B"/>
    <w:rsid w:val="006600CB"/>
    <w:rsid w:val="0066342E"/>
    <w:rsid w:val="00665BEC"/>
    <w:rsid w:val="00672CBD"/>
    <w:rsid w:val="006762EA"/>
    <w:rsid w:val="00680963"/>
    <w:rsid w:val="00680F9F"/>
    <w:rsid w:val="00682DB8"/>
    <w:rsid w:val="006835BB"/>
    <w:rsid w:val="0068567C"/>
    <w:rsid w:val="00687B1E"/>
    <w:rsid w:val="006932D3"/>
    <w:rsid w:val="006947EF"/>
    <w:rsid w:val="00696E93"/>
    <w:rsid w:val="0069785C"/>
    <w:rsid w:val="006A1C63"/>
    <w:rsid w:val="006A6A37"/>
    <w:rsid w:val="006A6FFA"/>
    <w:rsid w:val="006B42E2"/>
    <w:rsid w:val="006B5608"/>
    <w:rsid w:val="006B6CCA"/>
    <w:rsid w:val="006B6E14"/>
    <w:rsid w:val="006C0EB3"/>
    <w:rsid w:val="006C1F8D"/>
    <w:rsid w:val="006C27D4"/>
    <w:rsid w:val="006C288D"/>
    <w:rsid w:val="006C3A40"/>
    <w:rsid w:val="006D5234"/>
    <w:rsid w:val="006D6697"/>
    <w:rsid w:val="006E0A41"/>
    <w:rsid w:val="006E0E06"/>
    <w:rsid w:val="006E0EF3"/>
    <w:rsid w:val="006E3F47"/>
    <w:rsid w:val="006E4977"/>
    <w:rsid w:val="006F0748"/>
    <w:rsid w:val="006F22C2"/>
    <w:rsid w:val="006F267E"/>
    <w:rsid w:val="006F74F3"/>
    <w:rsid w:val="00702D92"/>
    <w:rsid w:val="00707683"/>
    <w:rsid w:val="00707CA1"/>
    <w:rsid w:val="00713F77"/>
    <w:rsid w:val="0072092D"/>
    <w:rsid w:val="00720AFC"/>
    <w:rsid w:val="007228C6"/>
    <w:rsid w:val="007235F3"/>
    <w:rsid w:val="00724D0E"/>
    <w:rsid w:val="00724E07"/>
    <w:rsid w:val="007255DD"/>
    <w:rsid w:val="007325AF"/>
    <w:rsid w:val="00735AA6"/>
    <w:rsid w:val="0074345D"/>
    <w:rsid w:val="00743542"/>
    <w:rsid w:val="007437A5"/>
    <w:rsid w:val="00753BD5"/>
    <w:rsid w:val="00764938"/>
    <w:rsid w:val="00764F71"/>
    <w:rsid w:val="007656E2"/>
    <w:rsid w:val="00767C26"/>
    <w:rsid w:val="00772326"/>
    <w:rsid w:val="00772ADA"/>
    <w:rsid w:val="0078142E"/>
    <w:rsid w:val="00785F78"/>
    <w:rsid w:val="007860D7"/>
    <w:rsid w:val="0078681F"/>
    <w:rsid w:val="00794410"/>
    <w:rsid w:val="0079463B"/>
    <w:rsid w:val="007A3F58"/>
    <w:rsid w:val="007B54B8"/>
    <w:rsid w:val="007C19CE"/>
    <w:rsid w:val="007C4FD7"/>
    <w:rsid w:val="007C60B1"/>
    <w:rsid w:val="007D0940"/>
    <w:rsid w:val="007D1A71"/>
    <w:rsid w:val="007D31FB"/>
    <w:rsid w:val="007D4559"/>
    <w:rsid w:val="007D6B8A"/>
    <w:rsid w:val="007D7C8C"/>
    <w:rsid w:val="007E1805"/>
    <w:rsid w:val="007E1835"/>
    <w:rsid w:val="007E1EC2"/>
    <w:rsid w:val="007F21E2"/>
    <w:rsid w:val="00805CAE"/>
    <w:rsid w:val="008119B6"/>
    <w:rsid w:val="00815BE4"/>
    <w:rsid w:val="00816698"/>
    <w:rsid w:val="008169FA"/>
    <w:rsid w:val="0082368D"/>
    <w:rsid w:val="008277A2"/>
    <w:rsid w:val="008307F6"/>
    <w:rsid w:val="00830EF8"/>
    <w:rsid w:val="00834CDC"/>
    <w:rsid w:val="00837272"/>
    <w:rsid w:val="00837A4A"/>
    <w:rsid w:val="00840FB2"/>
    <w:rsid w:val="008412A0"/>
    <w:rsid w:val="00847BF4"/>
    <w:rsid w:val="00860351"/>
    <w:rsid w:val="008619F1"/>
    <w:rsid w:val="008636B9"/>
    <w:rsid w:val="00863B1B"/>
    <w:rsid w:val="00865407"/>
    <w:rsid w:val="0087129D"/>
    <w:rsid w:val="00872BAE"/>
    <w:rsid w:val="0087720E"/>
    <w:rsid w:val="008774A3"/>
    <w:rsid w:val="00877E77"/>
    <w:rsid w:val="00886513"/>
    <w:rsid w:val="00886D08"/>
    <w:rsid w:val="00890563"/>
    <w:rsid w:val="008A0359"/>
    <w:rsid w:val="008A4B2F"/>
    <w:rsid w:val="008A4BA4"/>
    <w:rsid w:val="008B0B5A"/>
    <w:rsid w:val="008B67FB"/>
    <w:rsid w:val="008C5001"/>
    <w:rsid w:val="008C51F9"/>
    <w:rsid w:val="008D1901"/>
    <w:rsid w:val="008E589A"/>
    <w:rsid w:val="008E5EEE"/>
    <w:rsid w:val="008E722D"/>
    <w:rsid w:val="008F0A6D"/>
    <w:rsid w:val="00903199"/>
    <w:rsid w:val="009063E0"/>
    <w:rsid w:val="00907209"/>
    <w:rsid w:val="009142A0"/>
    <w:rsid w:val="0091569D"/>
    <w:rsid w:val="00924C44"/>
    <w:rsid w:val="00926F8E"/>
    <w:rsid w:val="00932792"/>
    <w:rsid w:val="0093283C"/>
    <w:rsid w:val="00932F5F"/>
    <w:rsid w:val="0093315B"/>
    <w:rsid w:val="0093489B"/>
    <w:rsid w:val="009360B7"/>
    <w:rsid w:val="0093611F"/>
    <w:rsid w:val="00941F37"/>
    <w:rsid w:val="0095499B"/>
    <w:rsid w:val="00960512"/>
    <w:rsid w:val="00963FF2"/>
    <w:rsid w:val="00966068"/>
    <w:rsid w:val="00967638"/>
    <w:rsid w:val="00971DB4"/>
    <w:rsid w:val="009762B8"/>
    <w:rsid w:val="00977506"/>
    <w:rsid w:val="00982372"/>
    <w:rsid w:val="00986907"/>
    <w:rsid w:val="00990F14"/>
    <w:rsid w:val="00991C70"/>
    <w:rsid w:val="00993614"/>
    <w:rsid w:val="009A0239"/>
    <w:rsid w:val="009A05AA"/>
    <w:rsid w:val="009A1192"/>
    <w:rsid w:val="009A2C93"/>
    <w:rsid w:val="009A40B9"/>
    <w:rsid w:val="009A4D46"/>
    <w:rsid w:val="009B0AAD"/>
    <w:rsid w:val="009B1E47"/>
    <w:rsid w:val="009B4379"/>
    <w:rsid w:val="009B5745"/>
    <w:rsid w:val="009B59E2"/>
    <w:rsid w:val="009C21F6"/>
    <w:rsid w:val="009C2A54"/>
    <w:rsid w:val="009C5BFC"/>
    <w:rsid w:val="009C6E89"/>
    <w:rsid w:val="009D0797"/>
    <w:rsid w:val="009D3FDF"/>
    <w:rsid w:val="009D4550"/>
    <w:rsid w:val="009D465B"/>
    <w:rsid w:val="009D6E36"/>
    <w:rsid w:val="009E0483"/>
    <w:rsid w:val="009F1FE5"/>
    <w:rsid w:val="009F4AA3"/>
    <w:rsid w:val="00A00FB7"/>
    <w:rsid w:val="00A01300"/>
    <w:rsid w:val="00A071FD"/>
    <w:rsid w:val="00A10920"/>
    <w:rsid w:val="00A10F23"/>
    <w:rsid w:val="00A17B5D"/>
    <w:rsid w:val="00A17C16"/>
    <w:rsid w:val="00A21B45"/>
    <w:rsid w:val="00A22A7E"/>
    <w:rsid w:val="00A22B52"/>
    <w:rsid w:val="00A41BE3"/>
    <w:rsid w:val="00A46494"/>
    <w:rsid w:val="00A519D2"/>
    <w:rsid w:val="00A51FA9"/>
    <w:rsid w:val="00A61579"/>
    <w:rsid w:val="00A6439F"/>
    <w:rsid w:val="00A71818"/>
    <w:rsid w:val="00A72FAD"/>
    <w:rsid w:val="00A759EF"/>
    <w:rsid w:val="00A76A20"/>
    <w:rsid w:val="00A8208F"/>
    <w:rsid w:val="00A83BCD"/>
    <w:rsid w:val="00A90C95"/>
    <w:rsid w:val="00A91FC2"/>
    <w:rsid w:val="00A925E4"/>
    <w:rsid w:val="00A97B05"/>
    <w:rsid w:val="00AA6457"/>
    <w:rsid w:val="00AA6B8A"/>
    <w:rsid w:val="00AB2059"/>
    <w:rsid w:val="00AC231D"/>
    <w:rsid w:val="00AC282E"/>
    <w:rsid w:val="00AC37FD"/>
    <w:rsid w:val="00AC4575"/>
    <w:rsid w:val="00AD0069"/>
    <w:rsid w:val="00AD7187"/>
    <w:rsid w:val="00AE012B"/>
    <w:rsid w:val="00AE323C"/>
    <w:rsid w:val="00AF2BDF"/>
    <w:rsid w:val="00AF3161"/>
    <w:rsid w:val="00B011D6"/>
    <w:rsid w:val="00B01E85"/>
    <w:rsid w:val="00B05EDC"/>
    <w:rsid w:val="00B14BCA"/>
    <w:rsid w:val="00B152B4"/>
    <w:rsid w:val="00B15BB4"/>
    <w:rsid w:val="00B172FD"/>
    <w:rsid w:val="00B17374"/>
    <w:rsid w:val="00B17794"/>
    <w:rsid w:val="00B2012B"/>
    <w:rsid w:val="00B22FE3"/>
    <w:rsid w:val="00B302E5"/>
    <w:rsid w:val="00B31986"/>
    <w:rsid w:val="00B3360C"/>
    <w:rsid w:val="00B425B5"/>
    <w:rsid w:val="00B43577"/>
    <w:rsid w:val="00B4357F"/>
    <w:rsid w:val="00B43DF6"/>
    <w:rsid w:val="00B4548C"/>
    <w:rsid w:val="00B457DA"/>
    <w:rsid w:val="00B45A03"/>
    <w:rsid w:val="00B53D42"/>
    <w:rsid w:val="00B54C3A"/>
    <w:rsid w:val="00B607CC"/>
    <w:rsid w:val="00B60C69"/>
    <w:rsid w:val="00B60D56"/>
    <w:rsid w:val="00B6195E"/>
    <w:rsid w:val="00B61A2A"/>
    <w:rsid w:val="00B648B1"/>
    <w:rsid w:val="00B66ED4"/>
    <w:rsid w:val="00B7009B"/>
    <w:rsid w:val="00B705E6"/>
    <w:rsid w:val="00B744D5"/>
    <w:rsid w:val="00B75F8B"/>
    <w:rsid w:val="00B8250E"/>
    <w:rsid w:val="00B82AF8"/>
    <w:rsid w:val="00B85E2F"/>
    <w:rsid w:val="00B93B31"/>
    <w:rsid w:val="00B97541"/>
    <w:rsid w:val="00B97622"/>
    <w:rsid w:val="00BA189D"/>
    <w:rsid w:val="00BA4A36"/>
    <w:rsid w:val="00BA4E2B"/>
    <w:rsid w:val="00BA5115"/>
    <w:rsid w:val="00BA6C63"/>
    <w:rsid w:val="00BB1D29"/>
    <w:rsid w:val="00BB4C79"/>
    <w:rsid w:val="00BB62D8"/>
    <w:rsid w:val="00BC5D7C"/>
    <w:rsid w:val="00BC5FBF"/>
    <w:rsid w:val="00BD07DE"/>
    <w:rsid w:val="00BD1FDE"/>
    <w:rsid w:val="00BD47F6"/>
    <w:rsid w:val="00BE1501"/>
    <w:rsid w:val="00BE4C62"/>
    <w:rsid w:val="00BF0E62"/>
    <w:rsid w:val="00BF16A3"/>
    <w:rsid w:val="00BF1EEF"/>
    <w:rsid w:val="00BF69D8"/>
    <w:rsid w:val="00BF7DF0"/>
    <w:rsid w:val="00C06895"/>
    <w:rsid w:val="00C06BB2"/>
    <w:rsid w:val="00C06ED7"/>
    <w:rsid w:val="00C070DA"/>
    <w:rsid w:val="00C11801"/>
    <w:rsid w:val="00C1323E"/>
    <w:rsid w:val="00C15565"/>
    <w:rsid w:val="00C22240"/>
    <w:rsid w:val="00C2387F"/>
    <w:rsid w:val="00C23F8F"/>
    <w:rsid w:val="00C24732"/>
    <w:rsid w:val="00C24E6D"/>
    <w:rsid w:val="00C279CD"/>
    <w:rsid w:val="00C31E48"/>
    <w:rsid w:val="00C340A7"/>
    <w:rsid w:val="00C358C1"/>
    <w:rsid w:val="00C37B52"/>
    <w:rsid w:val="00C4129B"/>
    <w:rsid w:val="00C41C49"/>
    <w:rsid w:val="00C57E18"/>
    <w:rsid w:val="00C57E6B"/>
    <w:rsid w:val="00C608A1"/>
    <w:rsid w:val="00C67250"/>
    <w:rsid w:val="00C73DC0"/>
    <w:rsid w:val="00C84E60"/>
    <w:rsid w:val="00C86EC5"/>
    <w:rsid w:val="00C916C7"/>
    <w:rsid w:val="00C942A6"/>
    <w:rsid w:val="00CA2017"/>
    <w:rsid w:val="00CA256D"/>
    <w:rsid w:val="00CA4068"/>
    <w:rsid w:val="00CA51C2"/>
    <w:rsid w:val="00CA55B6"/>
    <w:rsid w:val="00CB2085"/>
    <w:rsid w:val="00CB5444"/>
    <w:rsid w:val="00CB6DF1"/>
    <w:rsid w:val="00CC012B"/>
    <w:rsid w:val="00CC0F49"/>
    <w:rsid w:val="00CC2B6D"/>
    <w:rsid w:val="00CC564D"/>
    <w:rsid w:val="00CC7945"/>
    <w:rsid w:val="00CD2257"/>
    <w:rsid w:val="00CE092F"/>
    <w:rsid w:val="00CE2B21"/>
    <w:rsid w:val="00CF28D6"/>
    <w:rsid w:val="00CF5346"/>
    <w:rsid w:val="00D0323C"/>
    <w:rsid w:val="00D121E2"/>
    <w:rsid w:val="00D1724C"/>
    <w:rsid w:val="00D22CEA"/>
    <w:rsid w:val="00D255E1"/>
    <w:rsid w:val="00D26900"/>
    <w:rsid w:val="00D26BF4"/>
    <w:rsid w:val="00D302DD"/>
    <w:rsid w:val="00D35CE6"/>
    <w:rsid w:val="00D43868"/>
    <w:rsid w:val="00D47C18"/>
    <w:rsid w:val="00D52EE6"/>
    <w:rsid w:val="00D56102"/>
    <w:rsid w:val="00D62393"/>
    <w:rsid w:val="00D623C5"/>
    <w:rsid w:val="00D647B9"/>
    <w:rsid w:val="00D71766"/>
    <w:rsid w:val="00D73CFD"/>
    <w:rsid w:val="00D82CAC"/>
    <w:rsid w:val="00D93B97"/>
    <w:rsid w:val="00D953BF"/>
    <w:rsid w:val="00DA023D"/>
    <w:rsid w:val="00DA58E3"/>
    <w:rsid w:val="00DB0CDA"/>
    <w:rsid w:val="00DB13A6"/>
    <w:rsid w:val="00DB4413"/>
    <w:rsid w:val="00DB56A9"/>
    <w:rsid w:val="00DB6DE7"/>
    <w:rsid w:val="00DB7E0B"/>
    <w:rsid w:val="00DC0044"/>
    <w:rsid w:val="00DC0518"/>
    <w:rsid w:val="00DC0DF5"/>
    <w:rsid w:val="00DD18EC"/>
    <w:rsid w:val="00DD4F13"/>
    <w:rsid w:val="00DD73ED"/>
    <w:rsid w:val="00DE2EBE"/>
    <w:rsid w:val="00DE38FB"/>
    <w:rsid w:val="00DE49BE"/>
    <w:rsid w:val="00DE55A6"/>
    <w:rsid w:val="00DE562C"/>
    <w:rsid w:val="00DE63AE"/>
    <w:rsid w:val="00DE7118"/>
    <w:rsid w:val="00DF18CB"/>
    <w:rsid w:val="00DF19F4"/>
    <w:rsid w:val="00DF1C9C"/>
    <w:rsid w:val="00DF3C19"/>
    <w:rsid w:val="00DF739F"/>
    <w:rsid w:val="00E00D5F"/>
    <w:rsid w:val="00E044BE"/>
    <w:rsid w:val="00E057A5"/>
    <w:rsid w:val="00E05C92"/>
    <w:rsid w:val="00E06459"/>
    <w:rsid w:val="00E1067D"/>
    <w:rsid w:val="00E16584"/>
    <w:rsid w:val="00E16A10"/>
    <w:rsid w:val="00E20456"/>
    <w:rsid w:val="00E20897"/>
    <w:rsid w:val="00E23612"/>
    <w:rsid w:val="00E253A1"/>
    <w:rsid w:val="00E33E89"/>
    <w:rsid w:val="00E42BF0"/>
    <w:rsid w:val="00E4454E"/>
    <w:rsid w:val="00E541D0"/>
    <w:rsid w:val="00E60338"/>
    <w:rsid w:val="00E70B0F"/>
    <w:rsid w:val="00E711B4"/>
    <w:rsid w:val="00E72DE3"/>
    <w:rsid w:val="00E73F11"/>
    <w:rsid w:val="00E7517D"/>
    <w:rsid w:val="00E80BA7"/>
    <w:rsid w:val="00E80D37"/>
    <w:rsid w:val="00E82A2B"/>
    <w:rsid w:val="00E82F00"/>
    <w:rsid w:val="00E83333"/>
    <w:rsid w:val="00E83D6B"/>
    <w:rsid w:val="00E83DAB"/>
    <w:rsid w:val="00E84DA4"/>
    <w:rsid w:val="00E8507F"/>
    <w:rsid w:val="00E90365"/>
    <w:rsid w:val="00E92B80"/>
    <w:rsid w:val="00E949C0"/>
    <w:rsid w:val="00EA3A57"/>
    <w:rsid w:val="00EA5BE1"/>
    <w:rsid w:val="00EB4443"/>
    <w:rsid w:val="00EB5A19"/>
    <w:rsid w:val="00EB7A32"/>
    <w:rsid w:val="00EC04AF"/>
    <w:rsid w:val="00EC1F42"/>
    <w:rsid w:val="00EC4308"/>
    <w:rsid w:val="00ED0C9F"/>
    <w:rsid w:val="00ED78FB"/>
    <w:rsid w:val="00EE08E5"/>
    <w:rsid w:val="00EE73A5"/>
    <w:rsid w:val="00EF058A"/>
    <w:rsid w:val="00EF138E"/>
    <w:rsid w:val="00EF3C23"/>
    <w:rsid w:val="00EF4AD5"/>
    <w:rsid w:val="00EF5F0E"/>
    <w:rsid w:val="00EF669E"/>
    <w:rsid w:val="00EF6C63"/>
    <w:rsid w:val="00F1030F"/>
    <w:rsid w:val="00F11CB5"/>
    <w:rsid w:val="00F12141"/>
    <w:rsid w:val="00F30AB6"/>
    <w:rsid w:val="00F31EE1"/>
    <w:rsid w:val="00F33693"/>
    <w:rsid w:val="00F3633B"/>
    <w:rsid w:val="00F4073E"/>
    <w:rsid w:val="00F44499"/>
    <w:rsid w:val="00F45FF1"/>
    <w:rsid w:val="00F52700"/>
    <w:rsid w:val="00F562DD"/>
    <w:rsid w:val="00F56775"/>
    <w:rsid w:val="00F67308"/>
    <w:rsid w:val="00F6772C"/>
    <w:rsid w:val="00F71D90"/>
    <w:rsid w:val="00F726EF"/>
    <w:rsid w:val="00F7626D"/>
    <w:rsid w:val="00F76679"/>
    <w:rsid w:val="00F772D9"/>
    <w:rsid w:val="00F77922"/>
    <w:rsid w:val="00F805A5"/>
    <w:rsid w:val="00F81ABC"/>
    <w:rsid w:val="00F829B4"/>
    <w:rsid w:val="00F83981"/>
    <w:rsid w:val="00F8662C"/>
    <w:rsid w:val="00F8755E"/>
    <w:rsid w:val="00FA10F4"/>
    <w:rsid w:val="00FB21C2"/>
    <w:rsid w:val="00FB5BDC"/>
    <w:rsid w:val="00FD3D37"/>
    <w:rsid w:val="00FD5FBC"/>
    <w:rsid w:val="00FD6AA8"/>
    <w:rsid w:val="00FD6D25"/>
    <w:rsid w:val="00FE03F3"/>
    <w:rsid w:val="00FE2FFE"/>
    <w:rsid w:val="00FE6621"/>
    <w:rsid w:val="00FF0565"/>
    <w:rsid w:val="00FF0FA4"/>
    <w:rsid w:val="00FF62B7"/>
    <w:rsid w:val="00FF7A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7259CEB8"/>
  <w15:docId w15:val="{9942C388-89E0-4DAB-9149-CBA83A4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90C95"/>
    <w:pPr>
      <w:spacing w:line="260" w:lineRule="atLeast"/>
    </w:pPr>
    <w:rPr>
      <w:rFonts w:ascii="Arial" w:hAnsi="Arial" w:cs="Arial"/>
      <w:sz w:val="22"/>
      <w:lang w:eastAsia="en-US"/>
    </w:rPr>
  </w:style>
  <w:style w:type="paragraph" w:styleId="Nadpis1">
    <w:name w:val="heading 1"/>
    <w:basedOn w:val="Normln"/>
    <w:next w:val="Normln"/>
    <w:uiPriority w:val="99"/>
    <w:qFormat/>
    <w:rsid w:val="00BF7DF0"/>
    <w:pPr>
      <w:keepNext/>
      <w:numPr>
        <w:ilvl w:val="4"/>
        <w:numId w:val="1"/>
      </w:numPr>
      <w:spacing w:line="400" w:lineRule="atLeast"/>
      <w:outlineLvl w:val="0"/>
    </w:pPr>
    <w:rPr>
      <w:color w:val="002C77"/>
      <w:sz w:val="36"/>
    </w:rPr>
  </w:style>
  <w:style w:type="paragraph" w:styleId="Nadpis2">
    <w:name w:val="heading 2"/>
    <w:basedOn w:val="Normln"/>
    <w:next w:val="Normln"/>
    <w:qFormat/>
    <w:rsid w:val="00BF7DF0"/>
    <w:pPr>
      <w:keepNext/>
      <w:numPr>
        <w:ilvl w:val="5"/>
        <w:numId w:val="1"/>
      </w:numPr>
      <w:spacing w:after="120" w:line="320" w:lineRule="atLeast"/>
      <w:outlineLvl w:val="1"/>
    </w:pPr>
    <w:rPr>
      <w:b/>
      <w:sz w:val="28"/>
    </w:rPr>
  </w:style>
  <w:style w:type="paragraph" w:styleId="Nadpis3">
    <w:name w:val="heading 3"/>
    <w:basedOn w:val="Normln"/>
    <w:next w:val="Normln"/>
    <w:link w:val="Nadpis3Char"/>
    <w:qFormat/>
    <w:rsid w:val="00BF7DF0"/>
    <w:pPr>
      <w:keepNext/>
      <w:numPr>
        <w:ilvl w:val="6"/>
        <w:numId w:val="1"/>
      </w:numPr>
      <w:spacing w:after="120" w:line="320" w:lineRule="atLeast"/>
      <w:ind w:left="1077" w:hanging="1077"/>
      <w:outlineLvl w:val="2"/>
    </w:pPr>
    <w:rPr>
      <w:rFonts w:cs="Times New Roman"/>
      <w:b/>
      <w:i/>
      <w:sz w:val="24"/>
      <w:lang w:val="x-none"/>
    </w:rPr>
  </w:style>
  <w:style w:type="paragraph" w:styleId="Nadpis4">
    <w:name w:val="heading 4"/>
    <w:basedOn w:val="Normln"/>
    <w:next w:val="Normln"/>
    <w:qFormat/>
    <w:rsid w:val="00BF7DF0"/>
    <w:pPr>
      <w:keepNext/>
      <w:numPr>
        <w:ilvl w:val="7"/>
        <w:numId w:val="1"/>
      </w:numPr>
      <w:spacing w:line="320" w:lineRule="atLeast"/>
      <w:outlineLvl w:val="3"/>
    </w:pPr>
    <w:rPr>
      <w:i/>
      <w:sz w:val="28"/>
    </w:rPr>
  </w:style>
  <w:style w:type="paragraph" w:styleId="Nadpis5">
    <w:name w:val="heading 5"/>
    <w:basedOn w:val="Normln"/>
    <w:next w:val="Normln"/>
    <w:qFormat/>
    <w:rsid w:val="00BF7DF0"/>
    <w:pPr>
      <w:keepNext/>
      <w:numPr>
        <w:ilvl w:val="8"/>
        <w:numId w:val="1"/>
      </w:numPr>
      <w:outlineLvl w:val="4"/>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BF7DF0"/>
    <w:rPr>
      <w:rFonts w:ascii="Tahoma" w:hAnsi="Tahoma" w:cs="Tahoma"/>
      <w:sz w:val="16"/>
      <w:szCs w:val="16"/>
    </w:rPr>
  </w:style>
  <w:style w:type="paragraph" w:styleId="Obsah1">
    <w:name w:val="toc 1"/>
    <w:basedOn w:val="Normln"/>
    <w:next w:val="Normln"/>
    <w:rsid w:val="00BF7DF0"/>
    <w:pPr>
      <w:numPr>
        <w:numId w:val="2"/>
      </w:numPr>
      <w:tabs>
        <w:tab w:val="left" w:pos="240"/>
        <w:tab w:val="left" w:pos="432"/>
        <w:tab w:val="right" w:leader="dot" w:pos="8640"/>
      </w:tabs>
      <w:spacing w:before="300" w:line="300" w:lineRule="exact"/>
    </w:pPr>
    <w:rPr>
      <w:noProof/>
    </w:rPr>
  </w:style>
  <w:style w:type="table" w:styleId="Mkatabulky">
    <w:name w:val="Table Grid"/>
    <w:basedOn w:val="Normlntabulka"/>
    <w:rsid w:val="00BF7DF0"/>
    <w:pPr>
      <w:spacing w:line="27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1">
    <w:name w:val="Table Bullet 1"/>
    <w:basedOn w:val="Normln"/>
    <w:rsid w:val="00BF7DF0"/>
    <w:pPr>
      <w:numPr>
        <w:ilvl w:val="4"/>
        <w:numId w:val="3"/>
      </w:numPr>
      <w:spacing w:before="40" w:after="40" w:line="240" w:lineRule="auto"/>
      <w:outlineLvl w:val="4"/>
    </w:pPr>
    <w:rPr>
      <w:sz w:val="20"/>
    </w:rPr>
  </w:style>
  <w:style w:type="paragraph" w:customStyle="1" w:styleId="TableBullet2">
    <w:name w:val="Table Bullet 2"/>
    <w:basedOn w:val="Normln"/>
    <w:rsid w:val="00BF7DF0"/>
    <w:pPr>
      <w:numPr>
        <w:ilvl w:val="5"/>
        <w:numId w:val="3"/>
      </w:numPr>
      <w:spacing w:before="40" w:after="40" w:line="240" w:lineRule="auto"/>
      <w:outlineLvl w:val="5"/>
    </w:pPr>
    <w:rPr>
      <w:sz w:val="20"/>
    </w:rPr>
  </w:style>
  <w:style w:type="paragraph" w:customStyle="1" w:styleId="TableBullet3">
    <w:name w:val="Table Bullet 3"/>
    <w:basedOn w:val="Normln"/>
    <w:rsid w:val="00BF7DF0"/>
    <w:pPr>
      <w:numPr>
        <w:ilvl w:val="6"/>
        <w:numId w:val="3"/>
      </w:numPr>
      <w:spacing w:before="40" w:after="40" w:line="240" w:lineRule="auto"/>
      <w:outlineLvl w:val="6"/>
    </w:pPr>
    <w:rPr>
      <w:sz w:val="20"/>
    </w:rPr>
  </w:style>
  <w:style w:type="paragraph" w:customStyle="1" w:styleId="TableBullet4">
    <w:name w:val="Table Bullet 4"/>
    <w:basedOn w:val="Normln"/>
    <w:rsid w:val="00BF7DF0"/>
    <w:pPr>
      <w:numPr>
        <w:ilvl w:val="7"/>
        <w:numId w:val="3"/>
      </w:numPr>
      <w:spacing w:before="40" w:after="40" w:line="240" w:lineRule="auto"/>
      <w:outlineLvl w:val="7"/>
    </w:pPr>
    <w:rPr>
      <w:sz w:val="20"/>
    </w:rPr>
  </w:style>
  <w:style w:type="paragraph" w:customStyle="1" w:styleId="TableHeadingText">
    <w:name w:val="Table Heading Text"/>
    <w:basedOn w:val="Normln"/>
    <w:rsid w:val="00BF7DF0"/>
    <w:pPr>
      <w:keepNext/>
      <w:spacing w:before="40" w:after="40" w:line="240" w:lineRule="auto"/>
    </w:pPr>
    <w:rPr>
      <w:b/>
      <w:sz w:val="18"/>
    </w:rPr>
  </w:style>
  <w:style w:type="paragraph" w:customStyle="1" w:styleId="TableText">
    <w:name w:val="Table Text"/>
    <w:basedOn w:val="Normln"/>
    <w:rsid w:val="00BF7DF0"/>
    <w:pPr>
      <w:spacing w:before="40" w:after="40" w:line="240" w:lineRule="auto"/>
    </w:pPr>
    <w:rPr>
      <w:sz w:val="20"/>
    </w:rPr>
  </w:style>
  <w:style w:type="paragraph" w:customStyle="1" w:styleId="Rozvrendokumentu">
    <w:name w:val="Rozvržení dokumentu"/>
    <w:basedOn w:val="Normln"/>
    <w:semiHidden/>
    <w:rsid w:val="009D4550"/>
    <w:pPr>
      <w:shd w:val="clear" w:color="auto" w:fill="000080"/>
    </w:pPr>
    <w:rPr>
      <w:rFonts w:ascii="Tahoma" w:hAnsi="Tahoma" w:cs="Tahoma"/>
      <w:sz w:val="20"/>
    </w:rPr>
  </w:style>
  <w:style w:type="paragraph" w:styleId="Seznamsodrkami">
    <w:name w:val="List Bullet"/>
    <w:basedOn w:val="Normln"/>
    <w:rsid w:val="00F3633B"/>
    <w:pPr>
      <w:numPr>
        <w:numId w:val="4"/>
      </w:numPr>
      <w:spacing w:line="240" w:lineRule="auto"/>
    </w:pPr>
    <w:rPr>
      <w:rFonts w:ascii="Times New Roman" w:hAnsi="Times New Roman" w:cs="Times New Roman"/>
      <w:sz w:val="20"/>
      <w:szCs w:val="24"/>
      <w:lang w:eastAsia="cs-CZ"/>
    </w:rPr>
  </w:style>
  <w:style w:type="paragraph" w:customStyle="1" w:styleId="Adresa">
    <w:name w:val="Adresa"/>
    <w:rsid w:val="00A6439F"/>
    <w:pPr>
      <w:tabs>
        <w:tab w:val="left" w:pos="851"/>
        <w:tab w:val="left" w:pos="1701"/>
        <w:tab w:val="left" w:pos="2552"/>
        <w:tab w:val="left" w:pos="3402"/>
        <w:tab w:val="left" w:pos="4253"/>
        <w:tab w:val="left" w:pos="5103"/>
        <w:tab w:val="left" w:pos="5954"/>
        <w:tab w:val="left" w:pos="6804"/>
        <w:tab w:val="left" w:pos="7655"/>
        <w:tab w:val="left" w:pos="8505"/>
      </w:tabs>
      <w:overflowPunct w:val="0"/>
      <w:autoSpaceDE w:val="0"/>
      <w:autoSpaceDN w:val="0"/>
      <w:adjustRightInd w:val="0"/>
      <w:textAlignment w:val="baseline"/>
    </w:pPr>
    <w:rPr>
      <w:rFonts w:ascii="Arial" w:hAnsi="Arial"/>
      <w:sz w:val="22"/>
    </w:rPr>
  </w:style>
  <w:style w:type="paragraph" w:customStyle="1" w:styleId="CharCharCharCharChar">
    <w:name w:val="Char Char Char Char Char"/>
    <w:basedOn w:val="Normln"/>
    <w:rsid w:val="00A6439F"/>
    <w:pPr>
      <w:spacing w:after="160" w:line="240" w:lineRule="exact"/>
      <w:jc w:val="both"/>
    </w:pPr>
    <w:rPr>
      <w:rFonts w:ascii="Times New Roman Bold" w:hAnsi="Times New Roman Bold" w:cs="Times New Roman"/>
      <w:szCs w:val="26"/>
      <w:lang w:val="sk-SK"/>
    </w:rPr>
  </w:style>
  <w:style w:type="paragraph" w:styleId="Textvbloku">
    <w:name w:val="Block Text"/>
    <w:basedOn w:val="Normln"/>
    <w:rsid w:val="00B607CC"/>
    <w:pPr>
      <w:widowControl w:val="0"/>
      <w:autoSpaceDE w:val="0"/>
      <w:autoSpaceDN w:val="0"/>
      <w:adjustRightInd w:val="0"/>
      <w:spacing w:line="360" w:lineRule="atLeast"/>
      <w:ind w:left="480" w:right="-256"/>
      <w:jc w:val="both"/>
      <w:textAlignment w:val="baseline"/>
    </w:pPr>
    <w:rPr>
      <w:rFonts w:ascii="Times New Roman" w:hAnsi="Times New Roman" w:cs="Times New Roman"/>
      <w:color w:val="000000"/>
      <w:szCs w:val="13"/>
      <w:lang w:eastAsia="cs-CZ"/>
    </w:rPr>
  </w:style>
  <w:style w:type="paragraph" w:styleId="Zpat">
    <w:name w:val="footer"/>
    <w:basedOn w:val="Normln"/>
    <w:rsid w:val="00B97622"/>
    <w:pPr>
      <w:tabs>
        <w:tab w:val="center" w:pos="4536"/>
        <w:tab w:val="right" w:pos="9072"/>
      </w:tabs>
    </w:pPr>
  </w:style>
  <w:style w:type="character" w:styleId="slostrnky">
    <w:name w:val="page number"/>
    <w:basedOn w:val="Standardnpsmoodstavce"/>
    <w:rsid w:val="00B97622"/>
  </w:style>
  <w:style w:type="paragraph" w:styleId="Zhlav">
    <w:name w:val="header"/>
    <w:basedOn w:val="Normln"/>
    <w:link w:val="ZhlavChar"/>
    <w:rsid w:val="001C696A"/>
    <w:pPr>
      <w:tabs>
        <w:tab w:val="center" w:pos="4536"/>
        <w:tab w:val="right" w:pos="9072"/>
      </w:tabs>
    </w:pPr>
    <w:rPr>
      <w:rFonts w:cs="Times New Roman"/>
      <w:lang w:val="x-none"/>
    </w:rPr>
  </w:style>
  <w:style w:type="character" w:customStyle="1" w:styleId="ZhlavChar">
    <w:name w:val="Záhlaví Char"/>
    <w:link w:val="Zhlav"/>
    <w:rsid w:val="001C696A"/>
    <w:rPr>
      <w:rFonts w:ascii="Arial" w:hAnsi="Arial" w:cs="Arial"/>
      <w:sz w:val="22"/>
      <w:lang w:eastAsia="en-US"/>
    </w:rPr>
  </w:style>
  <w:style w:type="paragraph" w:styleId="Odstavecseseznamem">
    <w:name w:val="List Paragraph"/>
    <w:basedOn w:val="Normln"/>
    <w:uiPriority w:val="34"/>
    <w:qFormat/>
    <w:rsid w:val="009C5BFC"/>
    <w:pPr>
      <w:ind w:left="708"/>
    </w:pPr>
  </w:style>
  <w:style w:type="character" w:customStyle="1" w:styleId="Nadpis3Char">
    <w:name w:val="Nadpis 3 Char"/>
    <w:link w:val="Nadpis3"/>
    <w:rsid w:val="00E33E89"/>
    <w:rPr>
      <w:rFonts w:ascii="Arial" w:hAnsi="Arial" w:cs="Arial"/>
      <w:b/>
      <w:i/>
      <w:sz w:val="24"/>
      <w:lang w:eastAsia="en-US"/>
    </w:rPr>
  </w:style>
  <w:style w:type="character" w:styleId="Odkaznakoment">
    <w:name w:val="annotation reference"/>
    <w:rsid w:val="00BD1FDE"/>
    <w:rPr>
      <w:sz w:val="16"/>
      <w:szCs w:val="16"/>
    </w:rPr>
  </w:style>
  <w:style w:type="paragraph" w:styleId="Textkomente">
    <w:name w:val="annotation text"/>
    <w:basedOn w:val="Normln"/>
    <w:link w:val="TextkomenteChar"/>
    <w:rsid w:val="00BD1FDE"/>
    <w:rPr>
      <w:rFonts w:cs="Times New Roman"/>
      <w:sz w:val="20"/>
      <w:lang w:val="x-none"/>
    </w:rPr>
  </w:style>
  <w:style w:type="character" w:customStyle="1" w:styleId="TextkomenteChar">
    <w:name w:val="Text komentáře Char"/>
    <w:link w:val="Textkomente"/>
    <w:rsid w:val="00BD1FDE"/>
    <w:rPr>
      <w:rFonts w:ascii="Arial" w:hAnsi="Arial" w:cs="Arial"/>
      <w:lang w:eastAsia="en-US"/>
    </w:rPr>
  </w:style>
  <w:style w:type="paragraph" w:styleId="Bezmezer">
    <w:name w:val="No Spacing"/>
    <w:uiPriority w:val="1"/>
    <w:qFormat/>
    <w:rsid w:val="0074345D"/>
    <w:rPr>
      <w:rFonts w:ascii="Arial" w:hAnsi="Arial" w:cs="Arial"/>
      <w:sz w:val="22"/>
      <w:lang w:eastAsia="en-US"/>
    </w:rPr>
  </w:style>
  <w:style w:type="paragraph" w:customStyle="1" w:styleId="TextTabulkyRespect">
    <w:name w:val="Text Tabulky Respect"/>
    <w:basedOn w:val="Normln"/>
    <w:uiPriority w:val="18"/>
    <w:qFormat/>
    <w:rsid w:val="000D2925"/>
    <w:pPr>
      <w:spacing w:line="280" w:lineRule="atLeast"/>
      <w:jc w:val="both"/>
    </w:pPr>
    <w:rPr>
      <w:rFonts w:eastAsia="Arial" w:cs="Times New Roman"/>
      <w:sz w:val="20"/>
      <w:szCs w:val="22"/>
    </w:rPr>
  </w:style>
  <w:style w:type="paragraph" w:customStyle="1" w:styleId="TableTextEV">
    <w:name w:val="Table Text EV"/>
    <w:basedOn w:val="Normln"/>
    <w:qFormat/>
    <w:rsid w:val="000D2925"/>
    <w:pPr>
      <w:spacing w:before="40" w:after="40" w:line="240" w:lineRule="auto"/>
    </w:pPr>
    <w:rPr>
      <w:sz w:val="18"/>
    </w:rPr>
  </w:style>
  <w:style w:type="paragraph" w:customStyle="1" w:styleId="Heading4NumberedEV">
    <w:name w:val="Heading 4 Numbered EV"/>
    <w:basedOn w:val="Nadpis4"/>
    <w:next w:val="Normln"/>
    <w:qFormat/>
    <w:rsid w:val="006201DF"/>
    <w:pPr>
      <w:numPr>
        <w:ilvl w:val="0"/>
        <w:numId w:val="0"/>
      </w:numPr>
      <w:spacing w:before="240" w:after="60" w:line="240" w:lineRule="atLeast"/>
      <w:jc w:val="both"/>
    </w:pPr>
    <w:rPr>
      <w:b/>
      <w:sz w:val="20"/>
    </w:rPr>
  </w:style>
  <w:style w:type="paragraph" w:styleId="Pedmtkomente">
    <w:name w:val="annotation subject"/>
    <w:basedOn w:val="Textkomente"/>
    <w:next w:val="Textkomente"/>
    <w:link w:val="PedmtkomenteChar"/>
    <w:rsid w:val="00C31E48"/>
    <w:rPr>
      <w:rFonts w:cs="Arial"/>
      <w:b/>
      <w:bCs/>
      <w:lang w:val="cs-CZ"/>
    </w:rPr>
  </w:style>
  <w:style w:type="character" w:customStyle="1" w:styleId="PedmtkomenteChar">
    <w:name w:val="Předmět komentáře Char"/>
    <w:link w:val="Pedmtkomente"/>
    <w:rsid w:val="00C31E48"/>
    <w:rPr>
      <w:rFonts w:ascii="Arial" w:hAnsi="Arial" w:cs="Arial"/>
      <w:b/>
      <w:bCs/>
      <w:lang w:eastAsia="en-US"/>
    </w:rPr>
  </w:style>
  <w:style w:type="paragraph" w:customStyle="1" w:styleId="text-podnadpis">
    <w:name w:val="text - podnadpis"/>
    <w:basedOn w:val="Normln"/>
    <w:semiHidden/>
    <w:rsid w:val="00026783"/>
    <w:pPr>
      <w:tabs>
        <w:tab w:val="left" w:pos="3990"/>
      </w:tabs>
      <w:spacing w:before="240" w:line="360" w:lineRule="auto"/>
    </w:pPr>
    <w:rPr>
      <w:rFonts w:cs="Times New Roman"/>
      <w:b/>
      <w:bCs/>
      <w:sz w:val="24"/>
      <w:szCs w:val="24"/>
      <w:lang w:eastAsia="cs-CZ"/>
    </w:rPr>
  </w:style>
  <w:style w:type="paragraph" w:customStyle="1" w:styleId="SectionStartEV">
    <w:name w:val="Section Start EV"/>
    <w:basedOn w:val="Normln"/>
    <w:next w:val="Nadpis1"/>
    <w:qFormat/>
    <w:rsid w:val="00026783"/>
    <w:pPr>
      <w:keepNext/>
      <w:pageBreakBefore/>
      <w:framePr w:w="9639" w:h="1134" w:hRule="exact" w:vSpace="284" w:wrap="around" w:hAnchor="margin" w:y="1"/>
      <w:numPr>
        <w:numId w:val="36"/>
      </w:numPr>
      <w:pBdr>
        <w:bottom w:val="single" w:sz="12" w:space="0" w:color="8A6552"/>
      </w:pBdr>
      <w:tabs>
        <w:tab w:val="num" w:pos="360"/>
      </w:tabs>
      <w:spacing w:before="60" w:line="240" w:lineRule="auto"/>
      <w:ind w:left="360" w:hanging="360"/>
      <w:jc w:val="both"/>
    </w:pPr>
    <w:rPr>
      <w:color w:val="91212A"/>
      <w:sz w:val="72"/>
    </w:rPr>
  </w:style>
  <w:style w:type="paragraph" w:customStyle="1" w:styleId="Heading2NumberedEV">
    <w:name w:val="Heading 2 Numbered EV"/>
    <w:basedOn w:val="Nadpis2"/>
    <w:next w:val="Normln"/>
    <w:qFormat/>
    <w:rsid w:val="00026783"/>
    <w:pPr>
      <w:numPr>
        <w:ilvl w:val="1"/>
        <w:numId w:val="36"/>
      </w:numPr>
      <w:tabs>
        <w:tab w:val="num" w:pos="720"/>
      </w:tabs>
      <w:spacing w:before="240" w:after="60" w:line="280" w:lineRule="atLeast"/>
      <w:ind w:left="720" w:right="584" w:hanging="360"/>
      <w:jc w:val="both"/>
    </w:pPr>
    <w:rPr>
      <w:rFonts w:cs="Lucida Sans Unicode"/>
      <w:color w:val="91212A"/>
      <w:szCs w:val="12"/>
    </w:rPr>
  </w:style>
  <w:style w:type="numbering" w:customStyle="1" w:styleId="EurovalleyHeadingNumbered">
    <w:name w:val="Eurovalley Heading Numbered"/>
    <w:uiPriority w:val="99"/>
    <w:rsid w:val="00026783"/>
    <w:pPr>
      <w:numPr>
        <w:numId w:val="43"/>
      </w:numPr>
    </w:pPr>
  </w:style>
  <w:style w:type="paragraph" w:customStyle="1" w:styleId="Heading3NumberedEV">
    <w:name w:val="Heading 3 Numbered EV"/>
    <w:basedOn w:val="Nadpis3"/>
    <w:next w:val="Normln"/>
    <w:qFormat/>
    <w:rsid w:val="00026783"/>
    <w:pPr>
      <w:numPr>
        <w:ilvl w:val="2"/>
        <w:numId w:val="36"/>
      </w:numPr>
      <w:spacing w:before="240" w:after="0"/>
      <w:jc w:val="both"/>
    </w:pPr>
    <w:rPr>
      <w:rFonts w:cs="Arial"/>
      <w:sz w:val="28"/>
      <w:lang w:val="cs-CZ"/>
    </w:rPr>
  </w:style>
  <w:style w:type="paragraph" w:styleId="Revize">
    <w:name w:val="Revision"/>
    <w:hidden/>
    <w:uiPriority w:val="99"/>
    <w:semiHidden/>
    <w:rsid w:val="001B66B2"/>
    <w:rPr>
      <w:rFonts w:ascii="Arial" w:hAnsi="Arial"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883089">
      <w:bodyDiv w:val="1"/>
      <w:marLeft w:val="0"/>
      <w:marRight w:val="0"/>
      <w:marTop w:val="0"/>
      <w:marBottom w:val="0"/>
      <w:divBdr>
        <w:top w:val="none" w:sz="0" w:space="0" w:color="auto"/>
        <w:left w:val="none" w:sz="0" w:space="0" w:color="auto"/>
        <w:bottom w:val="none" w:sz="0" w:space="0" w:color="auto"/>
        <w:right w:val="none" w:sz="0" w:space="0" w:color="auto"/>
      </w:divBdr>
    </w:div>
    <w:div w:id="1458257545">
      <w:bodyDiv w:val="1"/>
      <w:marLeft w:val="0"/>
      <w:marRight w:val="0"/>
      <w:marTop w:val="0"/>
      <w:marBottom w:val="0"/>
      <w:divBdr>
        <w:top w:val="none" w:sz="0" w:space="0" w:color="auto"/>
        <w:left w:val="none" w:sz="0" w:space="0" w:color="auto"/>
        <w:bottom w:val="none" w:sz="0" w:space="0" w:color="auto"/>
        <w:right w:val="none" w:sz="0" w:space="0" w:color="auto"/>
      </w:divBdr>
    </w:div>
    <w:div w:id="1788743653">
      <w:bodyDiv w:val="1"/>
      <w:marLeft w:val="0"/>
      <w:marRight w:val="0"/>
      <w:marTop w:val="0"/>
      <w:marBottom w:val="0"/>
      <w:divBdr>
        <w:top w:val="none" w:sz="0" w:space="0" w:color="auto"/>
        <w:left w:val="none" w:sz="0" w:space="0" w:color="auto"/>
        <w:bottom w:val="none" w:sz="0" w:space="0" w:color="auto"/>
        <w:right w:val="none" w:sz="0" w:space="0" w:color="auto"/>
      </w:divBdr>
    </w:div>
    <w:div w:id="1860074380">
      <w:bodyDiv w:val="1"/>
      <w:marLeft w:val="0"/>
      <w:marRight w:val="0"/>
      <w:marTop w:val="0"/>
      <w:marBottom w:val="0"/>
      <w:divBdr>
        <w:top w:val="none" w:sz="0" w:space="0" w:color="auto"/>
        <w:left w:val="none" w:sz="0" w:space="0" w:color="auto"/>
        <w:bottom w:val="none" w:sz="0" w:space="0" w:color="auto"/>
        <w:right w:val="none" w:sz="0" w:space="0" w:color="auto"/>
      </w:divBdr>
    </w:div>
    <w:div w:id="214342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7AB56-87D5-4B25-AAE0-71FB8B128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3273</Words>
  <Characters>19312</Characters>
  <Application>Microsoft Office Word</Application>
  <DocSecurity>0</DocSecurity>
  <Lines>160</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22540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Jaroslava Čížková</cp:lastModifiedBy>
  <cp:revision>4</cp:revision>
  <cp:lastPrinted>2020-08-31T07:31:00Z</cp:lastPrinted>
  <dcterms:created xsi:type="dcterms:W3CDTF">2020-09-07T09:15:00Z</dcterms:created>
  <dcterms:modified xsi:type="dcterms:W3CDTF">2020-09-09T13:22:00Z</dcterms:modified>
</cp:coreProperties>
</file>